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31:2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7:0110001:27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Белгородская область, г. Валуйки, ул. Никитина, 27/2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0EFC384A"/>
    <w:rsid w:val="26C75DE3"/>
    <w:rsid w:val="34610F81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9E50717B3F94451FA777229E10351689_13</vt:lpwstr>
  </property>
</Properties>
</file>