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36"/>
        <w:ind w:left="0" w:right="520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предоставлении разрешения на условно разрешенный вид использования земельного участка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 частью 11 статьи 39 Градостроительного кодекса Российской Федерации, пунктом 6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утверждённым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условно разрешенный вид использования с кодом вида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земельного участка с кадастровым номером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8F9FA"/>
        </w:rPr>
        <w:t>31:27:0111002:</w:t>
      </w:r>
      <w:r>
        <w:rPr>
          <w:rFonts w:hint="default" w:ascii="Times New Roman" w:hAnsi="Times New Roman" w:eastAsia="Calibri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8F9FA"/>
          <w:lang w:val="ru-RU"/>
        </w:rPr>
        <w:t>80</w:t>
      </w:r>
      <w:r>
        <w:rPr>
          <w:color w:val="000000"/>
          <w:spacing w:val="0"/>
          <w:w w:val="100"/>
          <w:position w:val="0"/>
          <w:lang w:val="ru-RU" w:eastAsia="ru-RU" w:bidi="ru-RU"/>
        </w:rPr>
        <w:t>, расположенного в территориальной зоне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по адресу: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Белгородская область,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Валуйский район, г. Валуйки, ул. Чапаева, 30 д/3</w:t>
      </w:r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Рекомендовать администрации Валуйского городского округа 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</w:t>
      </w:r>
      <w:bookmarkStart w:id="2" w:name="_GoBack"/>
      <w:bookmarkEnd w:id="2"/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 правового обеспечения и контроля за градостроительной деяте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льностью управления архитектуры и градостроительства Белгородской области (Монакова Т.П.) обеспечить опубликование настоящего распоряжения в сетевом издании «Вестник нормативных правовых актов Белгородской области»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ru-RU" w:bidi="ru-RU"/>
        </w:rPr>
        <w:t>zakonbelregion.ru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).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0CAB30FE"/>
    <w:rsid w:val="0EFC384A"/>
    <w:rsid w:val="26C75DE3"/>
    <w:rsid w:val="2BEE0569"/>
    <w:rsid w:val="34610F81"/>
    <w:rsid w:val="4811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qFormat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qFormat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2023-10-02T05:26:35Z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7C5D2A8B4A894FEDB8CC151E9292B7C7_13</vt:lpwstr>
  </property>
</Properties>
</file>