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915" cy="668020"/>
                <wp:effectExtent l="0" t="0" r="635" b="17780"/>
                <wp:docPr id="1" name="Изображение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99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4pt;height:52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</w:r>
      <w:r/>
    </w:p>
    <w:p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Я  О Б Л А С Т Ь</w:t>
      </w:r>
      <w:r/>
    </w:p>
    <w:p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</w:r>
      <w:r/>
    </w:p>
    <w:p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 xml:space="preserve">АДМИНИСТРАЦИЯ ВАЛУЙСКОГО МУНИЦИПАЛЬНОГО ОКРУГА</w:t>
      </w:r>
      <w:r>
        <w:rPr>
          <w:sz w:val="36"/>
        </w:rPr>
      </w:r>
      <w:r/>
    </w:p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/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</w:t>
      </w:r>
      <w:r>
        <w:rPr>
          <w:rFonts w:ascii="Arial" w:hAnsi="Arial" w:cs="Arial"/>
          <w:b/>
          <w:sz w:val="18"/>
          <w:szCs w:val="18"/>
          <w:u w:val="none"/>
        </w:rPr>
        <w:t xml:space="preserve">30</w:t>
      </w:r>
      <w:r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  <w:u w:val="none"/>
        </w:rPr>
        <w:t xml:space="preserve">сентября</w:t>
      </w:r>
      <w:r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                        № 1703</w:t>
      </w:r>
      <w:r/>
    </w:p>
    <w:p>
      <w:pPr>
        <w:jc w:val="both"/>
        <w:spacing w:lineRule="auto" w:line="240"/>
      </w:pPr>
      <w:r/>
      <w:r/>
    </w:p>
    <w:p>
      <w:pPr>
        <w:jc w:val="both"/>
        <w:spacing w:lineRule="auto" w:line="240"/>
      </w:pPr>
      <w:r/>
      <w:r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Borders>
              <w:lef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w:tooltip="#P71" w:anchor="P71" w:history="1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Положения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системе управления муниципальными программами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Валуйского муниципального округа</w:t>
            </w:r>
            <w:r/>
          </w:p>
        </w:tc>
      </w:tr>
    </w:tbl>
    <w:p>
      <w:pPr>
        <w:jc w:val="both"/>
        <w:spacing w:lineRule="auto" w:line="240"/>
        <w:rPr>
          <w:color w:val="0070C0"/>
        </w:rPr>
      </w:pPr>
      <w:r>
        <w:rPr>
          <w:color w:val="0070C0"/>
        </w:rPr>
      </w:r>
      <w:r/>
    </w:p>
    <w:p>
      <w:pPr>
        <w:jc w:val="both"/>
        <w:spacing w:lineRule="auto" w:line="240"/>
        <w:rPr>
          <w:color w:val="0070C0"/>
        </w:rPr>
      </w:pPr>
      <w:r>
        <w:rPr>
          <w:color w:val="0070C0"/>
        </w:rPr>
      </w:r>
      <w:r/>
    </w:p>
    <w:p>
      <w:pPr>
        <w:pStyle w:val="842"/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26 мая 2021 года № 786 «О системе управления государственными программами Российской Федерации»,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 Правительства Белгородской области от 25 сентября 2023 года №540-пп «Об утверждении Положения о системе управления государственными программами Белгородской области»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постановляю: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45"/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Утвердить Положение о системе управления муниципальными программами Валуйского муниципального округа (далее – Положение) (прилагается).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45"/>
        <w:ind w:firstLine="54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Установить, что реализация муниципальных программ Валуйского муниципального округа,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начиная с 1 января 2025 года, осуществляется в соответствии с </w:t>
      </w:r>
      <w:hyperlink w:tooltip="#P71" w:anchor="P71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, утвержденным в пункте 1 настоящего постановления.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45"/>
        <w:ind w:firstLine="54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 Опубликовать настоящее постановление в газете «Валуйская звезда» и сетевом издании «Валуйская звезда» (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en-US"/>
        </w:rPr>
        <w:t xml:space="preserve">val-zvezda31.ru)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ru-RU"/>
        </w:rPr>
        <w:t xml:space="preserve">в течение десяти календарных дней со дня его принятия.</w:t>
      </w:r>
      <w:r/>
    </w:p>
    <w:p>
      <w:pPr>
        <w:pStyle w:val="845"/>
        <w:ind w:firstLine="540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Отделу экономического анализа и трудовых отношений управления экономического развития администрации Валуйского муниципального округа (Бирюков В.Л.):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4"/>
        <w:ind w:firstLine="567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color w:val="000000"/>
          <w:sz w:val="28"/>
          <w:szCs w:val="28"/>
        </w:rPr>
        <w:t xml:space="preserve">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  <w:r>
        <w:rPr>
          <w:color w:val="000000"/>
          <w:sz w:val="28"/>
          <w:szCs w:val="28"/>
        </w:rPr>
      </w:r>
      <w:r/>
    </w:p>
    <w:p>
      <w:pPr>
        <w:pStyle w:val="854"/>
        <w:ind w:firstLine="567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color w:val="000000"/>
          <w:sz w:val="28"/>
          <w:szCs w:val="28"/>
        </w:rPr>
        <w:t xml:space="preserve"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</w:t>
      </w:r>
      <w:r>
        <w:rPr>
          <w:color w:val="000000"/>
          <w:sz w:val="28"/>
          <w:szCs w:val="28"/>
        </w:rPr>
        <w:t xml:space="preserve">дми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  <w:r>
        <w:rPr>
          <w:rFonts w:ascii="Times New Roman" w:hAnsi="Times New Roman" w:cs="Times New Roman" w:eastAsia="Times New Roman"/>
          <w:sz w:val="26"/>
          <w:szCs w:val="28"/>
        </w:rPr>
      </w:r>
      <w:r/>
    </w:p>
    <w:p>
      <w:pPr>
        <w:pStyle w:val="845"/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Валуйского муниципального округ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 по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вопросам муниципальной собственности и земельных ресурсов – начальника управления экономического развития Мормуль М.Ю. и на заместителя главы администрации Валуйского муниципального округа – начальника управления финансов и бюджетной политики Мащенко Л.В.</w:t>
      </w:r>
      <w:r>
        <w:rPr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color w:val="0070C0"/>
          <w:sz w:val="26"/>
          <w:szCs w:val="28"/>
        </w:rPr>
      </w:pPr>
      <w:r>
        <w:rPr>
          <w:rFonts w:ascii="Times New Roman" w:hAnsi="Times New Roman" w:cs="Times New Roman" w:eastAsia="Times New Roman"/>
          <w:color w:val="0070C0"/>
          <w:sz w:val="26"/>
          <w:szCs w:val="28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</w:t>
      </w:r>
      <w:r>
        <w:rPr>
          <w:b/>
          <w:color w:val="000000" w:themeColor="text1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Валуйского муниципального округа                                                  А.И. Дыбов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84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/>
    </w:p>
    <w:tbl>
      <w:tblPr>
        <w:tblW w:w="5526" w:type="dxa"/>
        <w:jc w:val="right"/>
        <w:tblLook w:val="04A0" w:firstRow="1" w:lastRow="0" w:firstColumn="1" w:lastColumn="0" w:noHBand="0" w:noVBand="1"/>
      </w:tblPr>
      <w:tblGrid>
        <w:gridCol w:w="5526"/>
      </w:tblGrid>
      <w:tr>
        <w:trPr>
          <w:jc w:val="right"/>
          <w:trHeight w:val="141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526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Приложение</w:t>
            </w:r>
            <w:r/>
          </w:p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</w:r>
            <w:r/>
          </w:p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УТВЕРЖДЕНО</w:t>
            </w:r>
            <w:r/>
          </w:p>
        </w:tc>
      </w:tr>
      <w:tr>
        <w:trPr>
          <w:jc w:val="right"/>
          <w:trHeight w:val="103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526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постановлением администрации</w:t>
            </w:r>
            <w:r/>
          </w:p>
        </w:tc>
      </w:tr>
      <w:tr>
        <w:trPr>
          <w:jc w:val="right"/>
          <w:trHeight w:val="72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526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Валуйского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val="en-US" w:eastAsia="ru-RU"/>
              </w:rPr>
              <w:t xml:space="preserve">округа</w:t>
            </w:r>
            <w:r/>
          </w:p>
        </w:tc>
      </w:tr>
      <w:tr>
        <w:trPr>
          <w:jc w:val="right"/>
          <w:trHeight w:val="72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526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от «30» сентября 202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  <w:r/>
          </w:p>
        </w:tc>
      </w:tr>
      <w:tr>
        <w:trPr>
          <w:jc w:val="right"/>
          <w:trHeight w:val="130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526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  <w:lang w:eastAsia="ru-RU"/>
              </w:rPr>
              <w:t xml:space="preserve">№ 1703</w:t>
            </w:r>
            <w:r/>
          </w:p>
        </w:tc>
      </w:tr>
    </w:tbl>
    <w:p>
      <w:pPr>
        <w:pStyle w:val="845"/>
        <w:jc w:val="center"/>
        <w:rPr>
          <w:b/>
        </w:rPr>
      </w:pPr>
      <w:r>
        <w:rPr>
          <w:b/>
        </w:rPr>
      </w:r>
      <w:r/>
    </w:p>
    <w:p>
      <w:pPr>
        <w:pStyle w:val="845"/>
        <w:jc w:val="center"/>
        <w:rPr>
          <w:rFonts w:ascii="Times New Roman" w:hAnsi="Times New Roman" w:cs="Times New Roman"/>
          <w:b/>
          <w:sz w:val="28"/>
          <w:szCs w:val="28"/>
        </w:rPr>
      </w:pPr>
      <w:r/>
      <w:hyperlink w:tooltip="#P71" w:anchor="P71" w:history="1">
        <w:r>
          <w:rPr>
            <w:rFonts w:ascii="Times New Roman" w:hAnsi="Times New Roman" w:cs="Times New Roman"/>
            <w:b/>
            <w:sz w:val="28"/>
            <w:szCs w:val="28"/>
          </w:rPr>
          <w:t xml:space="preserve">Положение</w:t>
        </w:r>
      </w:hyperlink>
      <w:r/>
      <w:r/>
    </w:p>
    <w:p>
      <w:pPr>
        <w:pStyle w:val="8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системе управления муниципальными программами</w:t>
      </w:r>
      <w:r/>
    </w:p>
    <w:p>
      <w:pPr>
        <w:pStyle w:val="8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Валуйского муниципального округа</w:t>
      </w:r>
      <w:r/>
    </w:p>
    <w:p>
      <w:pPr>
        <w:pStyle w:val="8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</w:t>
      </w:r>
      <w:r/>
    </w:p>
    <w:p>
      <w:pPr>
        <w:pStyle w:val="84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tabs>
          <w:tab w:val="left" w:pos="3544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 Положение о системе управления муниципальными программами Валуйского муниципального округа (далее – Положение) устанавливает правила разработки, реализации, мониторинга и оценки эффективности муниципальных  программ Валуйского муниципального округа.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tabs>
          <w:tab w:val="left" w:pos="3544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 Для целей реализации Положения используются следующие основные понятия: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tabs>
          <w:tab w:val="left" w:pos="3544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ответственный исполнитель муниципальной программы (комплексной программы) – структурное подразделение администрации Валуйского муниципального округа, ответственное за реализацию, муниципальной политики в кон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кретной сфере (сферах), обеспечивающее разработку и реализацию муниципальной программы (комплексной программы), совместно с соисполнителями муниципальной программы (комплексной программы) и (или) участниками муниципальной программы (комплексной программы);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tabs>
          <w:tab w:val="left" w:pos="3544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соисполнитель муниципальной (комплексной) программы – структурное подразделение администрации Валуйского муниципального округа, обеспечивающее разработку и реализацию структурного элемента муниципальной (комплексной) программы;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tabs>
          <w:tab w:val="left" w:pos="3544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структурное подразделение администрации Валуйского муниципального округа, организация, участвующее(-ая) в реализации структурного элемента муниципальной программы (комплексной программы);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задача структурного элемента муниципальной программы (комплексной программы) – итог деятельности, направленный на достижение изменений в социально-экономической сфере Валуйского муниципального округа;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мероприятие (результат) – количественно измеримый итог деятельности, направленный на достижение показателей муниципальной программы (комплексной программы) и ее структурных элементов, сформулированный в виде завершенного дей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Термины «мероприятие» и «результат» тождественны друг другу и применяются при формировании проектной и процессной частей муниципальной программы (комплексной программы);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объект – конечный материальный или нематериальный продукт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 (комплексной программы);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показатель – количественно измеримый параметр, характеризующий достижение целей муниципальной программы (комплексной программы), выполнение 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 (комплексной программы), ее структурного элемента;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(комплексной программы) и (или) созданию объекта;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маркировка – реализуемое в информационных системах присвоение признака связи параметров муниципальных программ (комплексных программ) и их структурных элементов между собой, а также с параметрами других документов.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Иные понятия и термины используются для целей реализации Положения в значениях, установленных законодательством Российской Федерации, нормативными правовыми актами Белгородской области, Валуйского муниципального округа.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пальная программа Валуйского муниципального округа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муници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пальной политики, обеспечивающих достижение приоритетов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целей муниципальной политики по соответствующим направлениям социально-экономического развития Валуйского муниципального округа и обеспечения безопасности населения Валуйского муниципального округа, в том числе направлена на достижение национальных целей.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1.4. В Положении выделяются следующие типы муниципальных программ Валуйского муниципального округа: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муниципальная программа Валуйского муниципального округа, предметом которой является достижение приоритетов и целей государственной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льной политики, в том числе национальных целей, в рамках отдельной отрасли или сферы социально-экономического развития Валуйского муниципального округа и обеспечения безопасности населения Валуйского муниципального округа (далее – муниципальная программа);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муниципальная программа Валуйского муниципального округа, предметом которой является достижение приоритетов и целей государственной и муниципальной политики межотраслевого и (или) территориального характера,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национальных целей, затрагивающих сферы реализации нескольких муниципальных программ (далее – комплексная программа).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о реализации муниципальной программы в качестве комплексной программы принимается администрацией Валуйского муниципального округа в порядке, предусмотренном пунктом 4.1 раздела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Положения.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состав муниципальных программ (комплексных программ) в соответствии со сферами их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лежат включению направления деятельности органов местного самоуправления и (или) главных распорядителей средств бюджета Валуйского муниципального округа (далее – направления деятельности), за исключением направлений деятельности по перечню, приведенному в </w:t>
      </w:r>
      <w:hyperlink r:id="rId13" w:tooltip="consultantplus://offline/ref=242BD3802A66AF75DF4F71A41ED70021DF274433C43B575B8EF336A3AC5587176BB76F157343188188058249F9F05B9D7D8070B958D7D4A8n331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приложении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к Положению.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составе комплексных программ дополнительно подлежат отражению в аналитических целях соответствующие сферам (отраслям) их реализации направления деятельности, включенные в состав муниципальных программ.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1.5. Разработка и реализация муниципальных программ (комплексных программ) осуществляется исходя из следующих принципов: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обеспечение достижения целей и приоритетов социально-экономического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Валуйского </w:t>
      </w:r>
      <w:bookmarkStart w:id="1" w:name="_GoBack"/>
      <w:r>
        <w:rPr>
          <w:color w:val="auto"/>
        </w:rPr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округа, установленных документами стратегического планирования;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обеспечение планирования и реализации муниципальных программ (комплексных программ) с учетом необходимости достижения национальных целей развития Российской Федерации, определенных </w:t>
      </w:r>
      <w:hyperlink r:id="rId14" w:tooltip="consultantplus://offline/ref=05617D9914C003A755EF69C780017B2D8B0606B6E1603A26EFCB021F204231ED3C5F189ED6C3DA3A9F01ECCD29A89787906CCAB221BF947Dp7Y4I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года»,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Федерации, установленных в государственных программах Белгородской области;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включение в состав муниципальной программы (комплексной программы) всех инструментов и мер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 обеспечение консолидации бюджетных ассигнований бюджета Валуйского муниципального округа, в том числе предоставляемых межбюджетных трансфертов из федерального и областного бюджета, а также вн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ебюджетных источников, направленных на решение вопросов местного значения в соответствующих сферах и влияющих на достижение показателей, выполнение (достижение) мероприятий (результатов), запланированных в муниципальных программах (комплексных программах);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д) синхронизация муниципальных программ с государственными программами Белгородской области, влияющими на достижение показателей и выполнение (достижение) мероприятий (результатов) муниципальных программ (комплексных программ);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е) учет показателей оценки эффективности органов местного самоуправления Валуйского муниципального округа;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ж) выделение в структуре муниципальных программ (комплексных программ):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Положением об управлении проектами в органах местного самоуправления Валуйского муниципального округа, а также подведомственных им учреждениях и организациях,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утверждаемым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Валуйского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- Положение об управлении проектами);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процессных мероприятий, реализуемых непрерывно либо на периодической основе;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з) закрепление должностного лица, ответственного за реализацию муниципальной программы (комплексной программы), а также каждого структурного элемента такой программы;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и) наличие информ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ационного ресурса для планирования муниципальных программ и формирования отчетности по ним, указанного в пункте 1.7 настоящего раздела, и возможность информационного взаимодействия и обмена данными с иными информационными системами;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к)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возможности маркировки в информационной системе, указанной в пункте 1.7 настоящего раздела, в составе муниципальной программы ее параметров (в том числе показателей, мероприятий (результатов), параметров финансового обеспечения), соответствующи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 сферам реализации государственных программ Белгородской области, и их структурных элементов, а также обеспечение маркировки муниципальных программ и их структурных элементов, относящихся к реализации национальных проектов (программ), с учетом требований </w:t>
      </w:r>
      <w:hyperlink r:id="rId15" w:tooltip="consultantplus://offline/ref=50DF2BBBF1EFD81A532872EBC33BF2821A41AD40837BE4049625C0EA3922EF826DF565FAFE804925887DB04DCB0B4A9A99B0E5AECAB26EE104o8I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пункта 1.9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раздела;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л) однократность ввода данных при формировании, реализации муниципальных программ (комплексных программ) и их мониторинге.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1.6. Разработка и реализация муниципальной программы (комплексной программы) осуществляется ответственным исполнителем такой программы совместно с ее соисполнителями и участниками.</w:t>
      </w:r>
      <w:r>
        <w:rPr>
          <w:color w:val="auto"/>
        </w:rPr>
      </w:r>
      <w:r/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1.7. Формирование, представление, согласование и утверждение документов и информации, в том числе паспортов муниципальных программ (комплексных программ), паспортов структурных эле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ментов муниципальных программ (комплексных программ), планов реализации структурных элементов муниципальных программ (комплексных программ), отчетов о ходе их реализации, запросов на их изменение, а также иных документов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материалов, разрабатываемых при реализации, мониторинге и оценке эффективности муниципальных программ (комплексных программ), осуществляются в форме документов на бумажном носителе, подписанных лицами, уполномоченными в установленном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порядке действовать от имени ответственного исполнителя (соисполнителя, участника) муниципальной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 (комплексной программы) или в региональной системе по мере ввода в эксплуатацию ее компонентов и модулей, а при ее отсутствии – в госуда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эксплуатацию ее компонентов и модулей, в форме электронных документов, под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программы (комплексной программы).</w:t>
      </w:r>
      <w:r>
        <w:rPr>
          <w:color w:val="auto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1.8. Руководители структурных подразделений администрации Валуйского муниципального округа, являющихс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ответственными исполнителями (соисполнителями, участниками) муниципальных программ (комплексных программ), несут персональную ответственность за достоверность и своевременность представления информации, формируемой (размещаемой) ими на бумажном носителе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eastAsia="ru-RU"/>
        </w:rPr>
        <w:t xml:space="preserve">и в информационной системе, указанной в пункте 1.7 настоящего раздела.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1.9. Ответственными исполнителями, соисполнителями и участниками муниципальн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ых программ (комплексных программ) обеспечивается маркировка в информационной системе, указанной в пункте 1.7 настоящего раздела, параметров муниципальных программ (комплексных программ) и их структурных элементов, в том числе относящихся: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к сферам реализации государственных программ Белгородской области и их структурных элементов;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к реализации национальных проектов.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1.10. Проект постановления администрации Валуйского муниципального округа о муниципальной прог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 (комплексной программе) подлежит размещению на официальном сайте администрации Валуйского муниципального округа в сети Интернет (https://valujskij-r31.gosweb.gosuslugi.ru/) для обеспечения возможности проведения независимой антикоррупционной экспертизы.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1.11. Информация о параметрах муниципальных программ (комплексных программ), в том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чис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ле опубликованные нормативные правовые акты об утверждении муниципальных программ (комплексных программ), подлежат размещению на официальном сайте администрации Валуйского муниципального округа  в сети Интернет (https://valujskij-r31.gosweb.gosuslugi.ru/).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Требования к структуре и целеполаганию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муниципальных программ (комплексных программ)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2" w:name="P144"/>
      <w:r>
        <w:rPr>
          <w:rFonts w:eastAsiaTheme="minorEastAsia"/>
          <w:color w:val="auto"/>
        </w:rPr>
      </w:r>
      <w:bookmarkEnd w:id="2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2.1. Муниципальная программа (комплексная программа) является системой следующих документов: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color w:val="auto"/>
        </w:rPr>
      </w:pPr>
      <w:r>
        <w:rPr>
          <w:rFonts w:eastAsiaTheme="minorEastAsia"/>
          <w:color w:val="auto"/>
        </w:rPr>
      </w:r>
      <w:bookmarkStart w:id="3" w:name="P145"/>
      <w:r>
        <w:rPr>
          <w:rFonts w:eastAsiaTheme="minorEastAsia"/>
          <w:color w:val="auto"/>
        </w:rPr>
      </w:r>
      <w:bookmarkEnd w:id="3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 приоритеты и цели муниципальной политики, в том числе с указанием связи с национальными целями, государственными программами Белгородской области, стратегией социально-экономического развития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 округа (далее – стратегические приоритеты);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паспорт муниципальной 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паспорта структурных элементов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планы реализации структурных элементов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4" w:name="P150"/>
      <w:r>
        <w:rPr>
          <w:rFonts w:eastAsiaTheme="minorEastAsia"/>
          <w:color w:val="auto"/>
        </w:rPr>
      </w:r>
      <w:bookmarkStart w:id="5" w:name="P148"/>
      <w:r>
        <w:rPr>
          <w:rFonts w:eastAsiaTheme="minorEastAsia"/>
          <w:color w:val="auto"/>
        </w:rPr>
      </w:r>
      <w:bookmarkEnd w:id="4"/>
      <w:r>
        <w:rPr>
          <w:rFonts w:eastAsiaTheme="minorEastAsia"/>
          <w:color w:val="auto"/>
        </w:rPr>
      </w:r>
      <w:bookmarkEnd w:id="5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правила (порядок) осуществления бюджетных инвестиций и правила (порядок) предоставления субсидий из бюджета Валуйского муниципального округа юридическим лицам в рамках реализации муниципальной программы (комплексной программы) (при необходимости);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trike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е) информация о решении (в случае принятия такого решения)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об осуществлении капитальных вложений в рамках реализации муниципальной программы (комплексной программы) – перечень (перечни) объектов капитального строительства, мероприятий (укрупненных инвестиционных проектов), объектов недвижимого имущества;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ж) решения о заключении от имени Валуйского муниципального округа муниципальных контрактов, предметом которых 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 (комплексной программы) (при необходимости);</w:t>
      </w:r>
      <w:bookmarkStart w:id="6" w:name="P154"/>
      <w:r>
        <w:rPr>
          <w:rFonts w:eastAsiaTheme="minorEastAsia"/>
          <w:color w:val="auto"/>
        </w:rPr>
      </w:r>
      <w:bookmarkEnd w:id="6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з) перечень объектов прикладных научных исследований и экспериментальных разработок, выполняемых по договорам о проведении научно-исследовательских, опытно-конструкторских и технологических работ (при необходимости);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и) предельные объемы средств бюджета Валуйского муниципального округа, предусмотренных на исполнение муниципальных контрактов, предметом которых 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 (комплексной программы) (при необходимости);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к) сведения о порядке сбора информации и методике расчета значений показателей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л) аналитическая информация о структурных элементах и (или) мероприяти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ях (результатах) иных муниципальных программ, относящихся к сфере реализации этой муниципальной программы (комплексной программы). В обязательном порядке формируется для комплексных программ, для муниципальных программ – при необходимости.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7" w:name="P162"/>
      <w:r>
        <w:rPr>
          <w:rFonts w:eastAsiaTheme="minorEastAsia"/>
          <w:color w:val="auto"/>
        </w:rPr>
      </w:r>
      <w:bookmarkStart w:id="8" w:name="P156"/>
      <w:r>
        <w:rPr>
          <w:rFonts w:eastAsiaTheme="minorEastAsia"/>
          <w:color w:val="auto"/>
        </w:rPr>
      </w:r>
      <w:bookmarkStart w:id="9" w:name="P158"/>
      <w:r>
        <w:rPr>
          <w:rFonts w:eastAsiaTheme="minorEastAsia"/>
          <w:color w:val="auto"/>
        </w:rPr>
      </w:r>
      <w:bookmarkStart w:id="10" w:name="P160"/>
      <w:r>
        <w:rPr>
          <w:rFonts w:eastAsiaTheme="minorEastAsia"/>
          <w:color w:val="auto"/>
        </w:rPr>
      </w:r>
      <w:bookmarkEnd w:id="7"/>
      <w:r>
        <w:rPr>
          <w:rFonts w:eastAsiaTheme="minorEastAsia"/>
          <w:color w:val="auto"/>
        </w:rPr>
      </w:r>
      <w:bookmarkEnd w:id="8"/>
      <w:r>
        <w:rPr>
          <w:rFonts w:eastAsiaTheme="minorEastAsia"/>
          <w:color w:val="auto"/>
        </w:rPr>
      </w:r>
      <w:bookmarkEnd w:id="9"/>
      <w:r>
        <w:rPr>
          <w:rFonts w:eastAsiaTheme="minorEastAsia"/>
          <w:color w:val="auto"/>
        </w:rPr>
      </w:r>
      <w:bookmarkEnd w:id="10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2.2. Формирование реестра документов, входящих в состав муниципальной программы (комплексной программы), указанных в пункте 2.1 настоящего раздела, обеспечение его актуальности и полноты производится ответственным исполнителем на бумаж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ном носителе и в информационной системе, указанной в пункте 1.7 раздела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Положения.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2.3 Муниципальная программа (комплексная программа) в качестве структурных элементов содержит муниципальные проекты и ведомственные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проекты, в совокупности составляющие проектную часть муниципальной программы (комплексной программы), а также комплексы процессных мероприятий, составляющие процессную часть.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 р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амках муниципальной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ствий и других чрезвычайных ситуаций в текущем финансовом году (далее – отдельные мероприятия, направленные на ликвидацию последствий чрезвычайных ситуаций), в соответствии с решениями администрации Валуйского муниципального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2.4. В рамках проектной части муниципальной программы (комплексной программы) осуществляется реализация направлений деятельности, предусматривающих: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 осуществление бюджетных инвестиций в форме капитальных вложений в объекты муниципальной собственности Валуйского муниципального округа;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 предоставление субсидий на осуществление капитальных вложений в объекты муниципальной  собственности Валуйского муниципального округа;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в) предоставление бюджетных инвестиций и субсидий юридическим лицам;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г) выработку предложений по совершенствованию муниципальной политики и нормативного регулирования в сфере реализации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д)  осуществление стимулирующих налоговых расходов;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организацию и проведение научно-исследовательских и опытно-конструкторских работ в сфере реализации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ж)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создание и развитие информационных систем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з)  предоставление целевых субсидий муниципальным учреждения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 согласно Положению об управлении проектами;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иные направления деятельности, отвечающие критериям проектной дея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тельности согласно Положению об управлении проектами.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2.4.1. Муниципальный проект должен обеспечивать достижение и (или) вклад в достижение целей и (или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) показателей и мероприятий (результатов) федерального проекта, входящего в состав национального проекта, и (или) структурных элементов государственной программы Белгородской области, и (или)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2.4.2. Муниципальные проекты могут иметь следующие типы: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 муниципальны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й проект, входящий в национальный проект, – проект, направленный на достижение целей, показателей и решение задач национального проекта, создаваемый как отдельный муниципальный проект, соответствующий региональному проекту, входящему в национальный проект;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 муниципальный проект, не входящий в национальный проект, – проект, направленный на достижение целей, показателей и решение задач структурного элемента государственной программы Белгородской области, не входящего в состав национального проекта.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Типы муниципальных проектов, указанные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подпунктах «а» и «б» настоящего пункта, включают в себя как доведенные для Валуйского муниципального округа в паспортах структурных элементов государственных программ Белгородской области мероприятия (результаты), так и собственные мероприятия (результаты)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Для муниципальных проектов, указанных в подпункте «б»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настоящего пункта, не обязательно формирование отдельного муниципального проекта, соответствующего региональному проекту, не входящему в состав национального проекта, при наличии доведенных мероприятий (результатов) из такого регионального проекта.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2.4.3. Ведомственный проект – проект, формируемый в случае, если реализация мероприятий (результатов) не направлена на достижение показателей и результатов структурного элемента государственной программы Белгородской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2.5. В рамках процессной части муниципальной программы (комплексной программы) осуществляется реализация направлений деятельности, предусматривающих: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 выполнение муниципальных заданий на оказание муниципальных услуг;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 осуществление текущей деятельности казенных учреждений;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г) предоставление целевых субсидий муниципальным учреждениям (за исключением субсидий, предоставляемых в рамках проектной деятельности);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д) 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включая осуществление социальных налоговых расходов;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е) 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ж) иные направления деятельности.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2.6. Муниципальные проекты, входящие в национальные проекты, муниципальные проекты, не входящие в национальн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ые проекты, ведомственные проекты, комплексы процессных мероприятий и отдельные мероприятия, направленные на ликвидацию последствий чрезвычайных ситуаций, могут группироваться по направлениям (подпрограммам)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Формирование и реализация муниципальных проектов, входящих 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национальные проекты, 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униципальных проектов, не входящих в национальные проекты, и ведомственных проектов, а также формирование отчетности об их реализации, формирование и реализация комплексов процессных мероприятий осуществляются в соответствии с Методическими рекомендациями </w:t>
      </w:r>
      <w:r>
        <w:rPr>
          <w:rFonts w:ascii="Times New Roman" w:hAnsi="Times New Roman" w:cs="Times New Roman" w:eastAsia="Calibri" w:eastAsiaTheme="minorEastAsia"/>
          <w:color w:val="auto"/>
          <w:sz w:val="28"/>
          <w:szCs w:val="28"/>
        </w:rPr>
        <w:t xml:space="preserve">по разработке и реализации  муниципальных </w:t>
      </w:r>
      <w:r>
        <w:rPr>
          <w:rFonts w:ascii="Times New Roman" w:hAnsi="Times New Roman" w:cs="Times New Roman" w:eastAsia="Calibri" w:eastAsiaTheme="minorEastAsia"/>
          <w:color w:val="auto"/>
          <w:sz w:val="28"/>
          <w:szCs w:val="28"/>
          <w:lang w:eastAsia="en-US"/>
        </w:rPr>
        <w:t xml:space="preserve">программ Валуйского муниципального округа (далее –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Методические рекомендации).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Паспорт комплекса процессных мероприятий содержит задачи, для решения которых предусматриваются мероприятия (результаты), которые представляют собой действие (совокупность действий), направленное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на достижение показателей муниципальных программ (комплексных программ),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Требования к мероприятиям (результатам) муни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ципальных проектов, входящих в национальный проект, муниципальных проектов, не входящих в национальный проект, и ведомственных проектов определяются в соответствии с Положением об управлении проектами.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Мероприятие (результат) структурного элемента муниципальной программы (комплексной программы) формируется исходя из принципо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 конкретности, точности, достоверности, измеримости (счетности), возможности мониторинга, в том числе ежемесячного мониторинга (при необходимости), и выполнения задач структурного элемента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Мероприятия (результаты) структурных элементов муниципальной программы (комплексной программы), источником ф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инансового обеспечения которых являются межбюджетные трансферты, предоставляемые из федерального и областного бюджета (за исключением субвенций), доводятся до конкретных объектов и их контрольных точек.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Позиция паспорта структурного элемента муниципальной программы (комплексной программы), касающаяся мероприятия (результата), в том числе содержит наименование, срок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реализации, ответственного за его реализацию, объем финансового обеспечения по годам реализации, базовое значение на момент начала реализации муниципальной программы и плановые значения по годам реализации до завершения их реализации.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Мероприятие (результат) структурного элемента муниципальной програм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мы (комплексной программы)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2.7. Муниципальные программы (комплексные программы) разрабатываются для реализации приоритетов и целей соци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ально-э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ономического развития Валуйского муниципального округа и обеспечения безопасности населения, определенных в документах стратегического планирования, а также исполнения федеральных, областных правовых актов и правовых актов Валуйского муниципального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Управление экономического развития администрации Валуйского муниципального округа вправе проводить оценку влияния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мероприятий (результатов) структурных элементов муниципальных программ (комплексных программ) на достижение целей социально-экономического развития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 достаточности мероприятий (результатов) для достижения указанных показателей.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2.8. Цели муниципальной программы (комплексной программы),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Цель муниципальной программы (комплексной программы), задача структурного элемента, как правило, формулируются с указанием целевого значения показателя, отражающего конечный социально-экономический э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ффект (эффект в сфере обеспечения безопасности населения) от реализации муниципальной программы (комплексной программы), ее структурного элемента на момент окончания реализации этой муниципальной программы (комплексной программы), ее структурного элемента.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Для каждой цели муни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ципальной программы (комплексной программы) формируются показатели, отражающие конечные общественно значимые социально-экономические эффекты (эффекты в сфере обеспечения безопасности населения) от реализации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Допускается включение в муниципальную программу (комплексную программу) комплекса процессных мероприятий, для которых показатели не устанавливаются.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2.9. В число показателей муниципальных программ (комплексных программ) включаются: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показатели, направленные на достижение общественно значимых результатов и задач;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показатели приоритетов социально-экономического развития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 обеспечения безопасности населения, определяемые в документах стратегического планирования;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 округа (при необходимости).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Показатели муниципальной программы (комплексной программы) должны удовлетворять одному из следующих условий: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целевые значения показателей рассчитываются по методикам, принятым международными организациями;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целевые значения показателей определяются на основе данных федерального статистического наблюдения;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целевые значения показателей рассчитываются по методикам, утвержденным ответственными исполнителями, соисполнителями, участниками муниципальных программ (комплексных программ).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Показатели муниципальной программы (комплексной программы) и ее структурных элементов должны отвечать критериям точности,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однозначности, измеримости (счетности), сопоставимости, достоверности, своевременности, регулярности (возможности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проведения регулярной оценки их достижения в соответствии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 предусмотренными методиками расчета показателей, в том числе социальных эффектов (эффектов в сфере обеспечения безопасности населения) от реализации муниципальных программ (комплексных программ)) и иным требованиям, определенными методическими рекомендац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иям</w:t>
      </w:r>
      <w:r>
        <w:rPr>
          <w:rFonts w:eastAsiaTheme="minorEastAsia"/>
          <w:sz w:val="28"/>
        </w:rPr>
        <w:t xml:space="preserve">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Дублирование показателей муниципальных программы (комплексной программы) в структурных элементах муниципальной программы (комплексной программы) не допускается.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2.10. Комплексы процессных мероприятий включают мероприятия (результаты), содержащие непосредственный итог действий, совершаемых для решения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задач соответствующего структурного элемента. Плановы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значения для мероприятий (результатов)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(в случаях, определенных методическими рекомендациями).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2.11. Параметры финансового обеспечения реализации структурных элементов муниципальной  программы (комплексной программы) планируются в разрезе мероприятий (результатов).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Требования к содержанию муниципальных программ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(комплексных программ)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3.1. Стратегические приоритеты муниципальной программы (комплексной программы) включают в себя: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 оценку текущего состояния соответствующей сферы социально-экономического развития Валуйского муниципального округа;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 описание приоритетов и целей муниципальной политики в сфере реализации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в) сведения о взаимосвязи со стратегическими приоритетами, целями и показателями государственных программ Белгородской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35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г) задачи государственного управления, способы их эффективного решения в сфере реализации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3.2. Паспорт муниципальной программы (комплексной программы) содержит: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 наименование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 цели и показатели, их характеризующие;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в) сроки и этапы реализации;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г) перечень структурных элементов;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д) параметры финансового обеспечения за счет всех источников финансирования по годам реализации в целом по муниципальной программе (комплексной программе) и с детализацией по ее структурным элементам;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е) сведения о кураторе (при наличии), ответственном исполнителе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ж) направления (подпрограммы) (при наличии) муниципальной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з) связь с национальными целями, государственными программами Белгородской области, целями стратегии социально-экономического развития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(при наличии).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11" w:name="P245"/>
      <w:r>
        <w:rPr>
          <w:rFonts w:eastAsiaTheme="minorEastAsia"/>
          <w:color w:val="auto"/>
        </w:rPr>
      </w:r>
      <w:bookmarkEnd w:id="11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3.3. Паспорт структурного элемента муниципальной программы (комплексной программы) содержит: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а) наименование структурного элемента;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б) задачи;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в) показатели;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г) сроки реализации;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д) перечень мероприятий (результатов);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е) параметры финансовог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 обеспечения за счет всех источников по 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(результатам);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ж) план реализации, включающий информацию о контрольных точках, а также объектах мероприятий (результатов);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з) для муниципального проекта, входящего в национальный проект, муниципального проекта, не входящего в национальный проект, ведом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ственного проекта – сведения о кураторе (при наличии), руководителе, администраторе, соисполнителях, участниках, связи с государственными программами (комплексными программами) Белгородской области и с муниципальными программами (комплексными программами);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и) для комплекса процессных мероприятий – сведения об ответственном исполнителе, связи с муниципальной программой (комплексной программой);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к) иные сведения (при необходимости).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3.4.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Формы представления материалов, указанных в </w:t>
      </w:r>
      <w:hyperlink w:tooltip="#P144" w:anchor="P144" w:history="1">
        <w:r>
          <w:rPr>
            <w:rFonts w:ascii="Times New Roman" w:hAnsi="Times New Roman" w:cs="Times New Roman" w:eastAsiaTheme="minorEastAsia"/>
            <w:color w:val="auto"/>
            <w:sz w:val="28"/>
            <w:szCs w:val="28"/>
          </w:rPr>
          <w:t xml:space="preserve">пункте 2.1 </w:t>
        </w:r>
      </w:hyperlink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Положения, разъяснения по их заполнению устанавливаются в Методических рекомендациях.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Паспорта муниципальных программ (комплексных программ) (проекты изменений в указанные паспорта, за исключением изменений, которые утверждаются в порядке, установ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ленном разделом V Положения), представляются одновременно с проектом решения Совета депутатов Валуйского муниципального округа о бюджете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очередной финансовый год и плановый период в Совет депутатов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3.5. Муниципальная программа, состоящая из системы документов, определенных пунктом 2.1 раздела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Положения, утверждается постановлением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муниципальной программе (комплексной программе) до 31 декабря года, предшествующего году начала ее реализации.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spacing w:lineRule="auto" w:line="23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Этапы разработки муниципальной программы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(комплексной программы)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12" w:name="P265"/>
      <w:r>
        <w:rPr>
          <w:rFonts w:eastAsiaTheme="minorEastAsia"/>
          <w:color w:val="auto"/>
        </w:rPr>
      </w:r>
      <w:bookmarkEnd w:id="12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4.1. Разр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аботка муниципальных программ (комплексных программ) осуществляется на основании перечня муниципальных программ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утверждаемого постановлением администрации Валуйского муниципального округа (далее – перечень муниципальных программ).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Проект перечня муниципальных программ формируется управле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нием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по согласованию с управлением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исходя из приоритетов и целей Стратегии социально-экономического развит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ия Валуйског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 муниципального округа, иных документов стратегического планирования Валуйского муниципального округа, на основании положений нормативных правовых актов Российской Федерации, Белгородской области, Валуйского муниципального округа с учетом поручений Губерн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атора Белгородской области и главы администрации Валуйского муниципального округа о разработке муниципальной программы (комплексной программы) в установленной сфере деятельности, предложений структурных подразделений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13" w:name="Par0"/>
      <w:r>
        <w:rPr>
          <w:rFonts w:eastAsiaTheme="minorEastAsia"/>
          <w:color w:val="auto"/>
        </w:rPr>
      </w:r>
      <w:bookmarkEnd w:id="13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Внесение изменений в перечень муниципальных программ производится управлен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ием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основании предложений ответственных исполнителей муниципальных программ (комплексных программ) по согласованию с управлением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Вк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лючение в перечень новых муниципальных программ (комплексных программ) осуществляется на основании предложений, представляемых ответственным исполнителем муниципальной программы (комплексной программы), согласованных с управлением экономического развития 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 управлением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в том числе с учетом сводного годового доклада о ходе реализации и оценке эффективности муниципальных программ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4.2. В перечне муниципальных программ указываются наименование каждой муниципальной программы (комплексной программы), период ее реализации, ответственный исполнитель и куратор.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4.3. В рамках подготовки проекта решения о бюджете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очередной финансовый год и плановый период ответственный исполнитель до 1 сентября текущего финансового года разрабатывает проект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муниципальной программы (комплексной программы) в составе документов, определенных подпунктами «б», «в» пункта 2.1 раздела II Положения, и направляет в управление экономического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бумажном носителе и в информационной системе, указанной в пункте 1.7 раздела I Положения,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для проведения предварительной экспертизы на соответствие нормам Положения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Доработанный с учетом замечаний 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предложений управления экономического развития администрации Валуйского муниципального округа проект муниципальной программы (комплексной программы), указанный в настоящем пункте, направляется в управление финансов и бюджетной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в срок до 1 октября текущего финансового года.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4.4. Ответственный исполнитель муниципальной программы (комплексной программы) осуществляет подготовку проекта муниципальной программы (комплексной программы) в составе документов, предусмотренных пунктом 2.1 разде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ла II Положения, с учетом пункта 3.3 раздела III Положения (далее – проект муниципальной программы (комплексной программы)) и обеспечивает его согласование соисполнителями и участниками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Ответственные исполнители муниципальных программ (комплексных программ) несут персональную ответственность за полноту и достоверность информации, содержащейся в проекте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4.5. Соисполнители и участники муни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ципальной программы (комплексной программы) рассматривают и согласовывают проект муниципальной программы (комплексной программы) в течение 5 (пяти) рабочих дней со дня поступления от ответственного исполнителя на согласование.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 целях проведения публичного обсуждения проект муниципальной программы (комплексной программы)  подлежит размещению ответственным исполнителем в сети Интернет на официально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 сайте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округа: https://valujskij-r31.gosweb.gosuslugi.ru/. Срок публичного обсуждения проекта муниципальной программы составляет десять календарных дней со дня размещения проекта муниципальной программы в сети Интернет.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 окончании срока публичного обсуждения ответственный исполнитель анализируе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т поступившие предложения и замечания по проекту муниципальной программы (комплексной программы), в случае их обоснованности и целесообразности дорабатывает проект муниципальной программы (комплексной программы) совместно с соисполнителями и участниками.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Информация о датах начала и окончания приема предложений и замечаний по проекту муниципа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л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ьной программы (комплексной программы), поступивших в установленный срок предложениях и замечаниях и принятых по результатам их рассмотрения решениях должна содержаться в пояснительной записке. В случае если в установленный срок не поступило замечаний и пр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едложений ответственный исполнитель включает в пояснительную записку информацию о датах начала и окончания приема предложений и замечаний по проекту муниципальной программы (комплексной программы), а также об отсутствии поступивших предложений и замечаний.</w:t>
      </w:r>
      <w:bookmarkStart w:id="14" w:name="P278"/>
      <w:r>
        <w:rPr>
          <w:rFonts w:eastAsiaTheme="minorEastAsia"/>
          <w:color w:val="auto"/>
        </w:rPr>
      </w:r>
      <w:bookmarkEnd w:id="14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4.6. Согласованный соисполнителями муниципальной программы (комплексной программы), участ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никами муниципальной программы (комплексной программы) проект муниципальной программы (комплексной программы) направляется ответственным исполнителем для согласования и дачи заключения одновременно в управление экономического развития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управление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правовое управление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а также направляется в контрольно-счётную палату Валуйского муниципального округа дл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я проведения финансово-экономической экспертизы в порядке и в сроки, установленные контрольно-счётной палатой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в форме документов на бумажном носителе и (или) в информационной системе, указанной в пункте 1.7 раздела I Положения.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4.7. Управление экономического развития администрации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управление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руга, правовое управление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рассматривают и согласовывают проект муниципальной программы (комплексной программы) в течение 10 (десяти) рабочих дней со дня поступления от ответственного исполнителя на согласование.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4.8. В сл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учае если на проект муниципальной программы (комплексной программы) получено отрицательное заключение управления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и (или) управления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и (или) правового управления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и (или) контрольно-счётной палаты Валуйского муниципального округа, ответственный исполнитель осуществляет его доработку и обеспечивает повторное рассмотрение и согласование.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4.9. При наличии положительных заключений управления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управлен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ия ф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инансов и бюджетной политики администрации Валуйского муниципального округа, правового управления администрации Валуйского муниципального округа и контрольно-счетной палаты Валуйского муниципального округа ответственный исполнитель вносит в установленном п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орядке проект постановления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об утверждении муниципальной программы (комплексной программы) и проект муниципальной программы (комплексной программы) на рассмотрение главе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Внесение изменений в муниципальную программу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(комплексную программу)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5.1. По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дготовка изменений в муниципальную программу (комплексную программу) и ее структурные элементы может быть инициирована куратором, ответственным исполнителем, а также соисполнителями и участниками  муниципальной программы (комплексной программы) (в части вн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есения изменений в соответствующие структурные элементы), в том числе во исполнение поручений главы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по результатам мониторинга реализации муниципальных программ (комплексных программ).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5.2. Внесение изменений в муниципальную программу (комплексную программу) и ее структурные элементы осуществляется в обязательном порядке: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при формировании проекта решения Совета депутатов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округа о бюджете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очередной финансовый год и плановый период – одновременно с формированием субъектами бюджетного планирования, главными распорядителями средств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предложений по распределен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ию по кодам классификации расходов бюджетов предельных базовых бюджетных ассигнований и предложений по дополнительным бюджетным ассигнованиям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реализацию соответствующих муниципальных программ (комплексных программ);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при формировании проекта решения Совета депутатов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внесении 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зменений в решение Совета депутатов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бюджете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текущий финансовый год и на плановый период – одновременно с формированием субъектами бюджетного планирования, главными распорядителями средств бюдже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предложений по перераспределению бюджетных ассигнований, предусмотренных на текущий финансовый год на реализацию соответствующих муниципальных программ (комплексных программ).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Предложения по внесению изменений в муниципальные программы (комплексные програм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мы) учитываются при подготовке проекта решения Совета депутатов Валуйского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внесении изменений в решение Совета депутатов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бюджете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текущий финансовый год и на плановый период.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альные программы (комплексные програм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мы) подлежат приведению в соответствие с решением Совета депутатов Валуйского муниципального округа о бюджете Валуйского муниципального округа на очередной финансовый год и плановый период не менее одного раза в квартал при изменении объема финансирования.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5.3. Ответственный исполнитель с учетом необходимых изменений муниципальной программы (комплексной программы):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осуществляет подготовку проекта постановления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внесении изменений в постановление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муниципальной программе (комплексной программе)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пояснительной запиской, содержащей информацию о предлагаемых изменениях относительно действующей редакции муниципальной программы (комплексной программы) с приведением соответствующих обоснований;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обеспечивает внесение изменений в муниципальную программу (комплексную программу) в соответствии с пунктами 4.4 – 4.9 раздела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Положения.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Система управления муниципальной программой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(комплексной программой)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6.1. В целях обеспечения управления реализацией муниципальной программы (комплексной программы) администрация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определяет куратора.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Кураторы назначаются из числа заместителей главы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6.2. Куратор муниципальной программы (комплексной программы):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несет ответственность за реализацию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Ответственный исполнитель, соисполнители и участники муниципальной программы (комплексной программы) несут ответственность за реализацию соответствующих структурных элементов муниц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ипальной программы (комплексной программы), выполнение их мероприятий (результатов), достижение соответствующих показателей муниципальной программы (комплексной программы) и ее структурных элементов, а также полноту и достоверность представляемых сведений;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координирует разработку и реализацию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одобряет стратегические приоритеты, цели, показатели и структуру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урегулирует разногласия между ответственным исполнителем, соисполнителями, участниками муниципальной программы (комплексной программы) по параметрам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выполняет иные функции, предусмотренные Положением.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6.3.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Ответственный исполнитель муниципальной программы (комплексной программы):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организует разработку и обеспечивает реализацию муниципальной программы (комплексной программы), ее согласование с соисполнителями;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осуществляет на постоянной основе контроль реализации муниципальной прогр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аммы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(комплексной программы),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управлением экономического развития администрации Валуйского муниципального округа;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принимает решение о внесении изменений в муниципальную программу (комплексную программу) в соответствии с Положением;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координирует деятельность соисполнителей в рамках подготовки проекта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представляет по запросу управления экономического развития администрации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управления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сведения, необходимые для осуществления мониторинга реализации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запрашивает у соисполнителей и участников муниципальной программы (комплексной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подготавливает годовой отчет, представляет его в управление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 обеспечивает размещение на официальном сайте в сети Интернет;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выполняет иные функции, предусмотренные Положением.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Ответственный исполнитель комплексной программы запрашивает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 ответственных исполнителей муниципальных программ, мероприятия (результаты) которых подлежат аналитическому отражению в комплексной программе, информацию, необходимую для проведения оценки эффективности комплексной программы и подготовки годового отчета.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6.4. Соисполнители муниципальной программы (комплексной программы):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в реализации которых предполагается их участие;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обеспечивают совместно с участниками муниципальной программы (комплексной программы) реализацию 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ключенных в муниципальную программу (комплексную программу) муниципальных проектов, входящих в национальные проекты, муниципальных проектов, не входящих в национальные проекты, ведомственных проектов и комплексов процессных мероприятий;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запрашивают у участников муниципальной программы (комплексной программы) информацию, необходимую для п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представляют ответственному исполн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ителю необходимую информацию для подготовки ответов на запросы управления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 управления финансов и бюджетной политики администрации Валуйского муниципального округа;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отчета;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выполняют иные функции, предусмотренные Положением.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6.5. Участники муниципальной программы (комплексной программы):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обеспечивают реализацию отдельных мероприятий муниципальных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проектов, входящих в национальные проекты, муниципальных проектов, не входящих в национальные проекты, ведомственных проектов и комплексов процессных мероприятий, в реализации которых предполагается их участие;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представляют ответственному исполнителю и соисполнителю информацию, необходимую для осуществления мониторинга реализации муниципальной программы (комплексной программы), оценки ее эффективности;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выполняют иные функции, предусмотренные Положением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6.6. Ответственный исполнитель, соисполнители и участники муниципальной программы (комплексной программы) представляют по запросу управления эк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ономического развития администрации Валуйского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и управления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дополнительную (уточненную) информацию о ходе реализации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Ответственный исполнитель, соисполнители и участники муници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ацию по запросам ответственных исполнителей комплексных программ.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Финансовое обеспечение реализации муниципальных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про</w:t>
      </w:r>
      <w:r>
        <w:rPr>
          <w:rFonts w:ascii="Times New Roman" w:hAnsi="Times New Roman" w:cs="Times New Roman" w:eastAsiaTheme="minorEastAsia"/>
          <w:b w:val="false"/>
          <w:color w:val="auto"/>
          <w:sz w:val="28"/>
          <w:szCs w:val="28"/>
        </w:rPr>
        <w:t xml:space="preserve">г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рамм (комплексных программ)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7.1. Параметры финансово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го обеспечения муниципальных программ (комплексных программ) на период их действия планируются исходя из необходимости достижения приоритетов социально-экономического развития и безопасности населения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7.2. Финансовое обеспечение реализации муниципальных программ (комплексных программ) в части расходных обязательств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осуществляется за счет бюджетных ассигнований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уга. Распределение бюджетных ассигнований на реализацию муниципальных программ (комплексных программ) утверждается решением Совета депутатов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 бюджете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текущий финансовый год и на плановый период.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7.3. Планирование бюджетных ассигнований на реализацию муниципальных программ (комплексных программ) в очередном финансовом году и плановом периоде осуществляется в соответствии с норматив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ными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правовыми актами, регулирующими порядок составления проекта бюджета Валуйского муниципального округа на очередной финансовый год и на плановый период, а также с учетом результатов реализации муниципальных программ (комплексных программ) за предыдущий год.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7.4. Показатели финансового обеспечения реализации муниципальных программ (комплексных программ) за счет средств бюджета Валуйского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за пределами планового периода определяются исходя из предельного объема расходов на реализацию муниципальных программ (комплексных программ) в соответствии с бюджетным прогнозом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долгосрочный период.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7.5. Финансовое обеспечение строительства, реконструкции, в том числе с элементами реставрации, технического перевооружения объектов капитального строительства и приобретения объектов недвижи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мого имущества в рамках муниципальной программы (комплексной программы) за счет средств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осуществляется в порядке, утвержденном нормативными правовыми актами органов местного самоуправления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 Контроль за реализацией муниципальных программ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(комплексных программ)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8.1. Контроль за реализацией (мониторинг реализации) муниципальных программ (комплексных программ) (далее – мониторинг) представляет собой комплекс мероприятий по измере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нию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 (комплексных программ), выявлению и минимизации рисков недостижения плановых параметров.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Целью мониторинга является получение на постоянной основе информации о ходе реализации муниципальных программ (комплексных программ) для принятия управленческих решений по определению, согласованию и реализации возможных корректирующих воздействий.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8.2. В ходе мониторинга формируются ежеквартальные и годовые отчеты в соответствии с Методическими рекомендациями по мониторингу муниципальных программ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 округа, утверждаемыми постановлением администрации Валуйского муниципального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Подготовка отчета о ходе реализации муниципальной программы (комплексной программы) осуществляется ее ответственным исполнителем на основе отчетов о ходе реализации муниципальных п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роектов, входящих в национальные проекты, муниципальных проектов, не входящих в национальные проекты, ведомственных проектов и комплексов процессных мероприятий, реализуемых в составе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Подготовка отчета о ходе реализации комплексной программы осуществляется на основе отчетов о ходе реализации муниципальных программ в части мероприятий (результатов), относящихся к сфере реализации комплексных программ.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8.3. Управление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 округа ежеквартально не позднее 10-го числа месяца, следующего за отчетным кварталом, направляет оперативную информацию об исполнении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в части бюджетных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ассигнований, предусмотренных на реализацию муниципальных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программ (комплексных программ), в том числе структурных элементов, включая бюджетные ассигнования по источникам финансирования дефицита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в управление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Theme="minorEastAsia"/>
          <w:color w:val="auto"/>
        </w:rPr>
      </w:r>
      <w:bookmarkStart w:id="15" w:name="P477"/>
      <w:r>
        <w:rPr>
          <w:rFonts w:eastAsiaTheme="minorEastAsia"/>
          <w:color w:val="auto"/>
        </w:rPr>
      </w:r>
      <w:bookmarkEnd w:id="15"/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8.4. Подготовка отчета о ходе реализации муниципальной программы (комплексной программы) осуществляется на основе отчетов о ходе реализации ее структурных элементов.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Формирование и предоставление отчета о ходе реализации муниципальной программы (комплексной программы) осуществляется на бумажном носителе или в информационной системе, указанной в пункте 1.7 раздела I Положения.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Ежеквартальный отчет 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ходе реализации структурного элемента муниципальной программы (комплексной программы) формируется соисполнителем и направл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яется ответственному исполнителю не позднее 3-го рабочего дня месяца, следующего за отчетным периодом, отчет по итогам года о ходе реализации структурного элемента муниципальной программы (комплексной программы) –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до 1 февраля года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следующего за отчетным.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Ответственн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ый исполнитель формирует ежеквартальный отчет о ходе реализации муниципальной программы (комплексной программы) до 13-го числа месяца, следующего за отчетным периодом, годовой отчет – до 10 февраля года, следующего за отчетным (уточненн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ый годовой отчет (при необходимости внесения изменений) – до 8 апреля года, следующего за отчетным годом) и направляет в управление экономического развития администрации Валуйского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для проведения мониторинга.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8.5. В годовом отчете содержатся: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 и по итогам ее реализации в целом;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 перечень контрольных точек, пройденных и не пройденных (с указанием причин) в установленные сроки;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информация о достижении фактических значений показателей муниципальной программы (комплексной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программы) и фактических значений показателей и результатов муниципальных проектов, входящих в национальные проекты, муниципальных проектов, не входящих в национальные проекты, ведомственных проектов, комплексов процессных мероприятий  за отчетный период;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информация о структурных элементах, реализация которых осуществляется с нарушением установленных параметров и сроков;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анализ факторов (при наличии), повлиявших на ход реализации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данные об использовании бюджетных ассигнований и иных средств на реализацию муниципальной программы (комплексной программы);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предложения о корректировке, досрочном прекращении реализации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структурных элементов или муниципальной программы (комплексной программы) в целом;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сведения об изменениях, внесенных в отчетном периоде в муниципальную программу (комплексную программу).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8.6. Годовой отчет подлежит размещению на официальном сайте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в сети Интернет.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8.7. Подтверждение достоверности информации, представленной в отчетах, осуществляется на основании данных исполнительных органов области, иных органов и организац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Информация о кассовых расходах бюджета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на реализацию муниципальных программ (комплексных программ), в том числе с распределением структурных элементов с целью формирования годовых отчетов,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представляется управлением финан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до 1 апреля (предварительная информация –  до 10 февраля) года, следующего за отчетным годом, на бумажном носителе или в информационной системе, указанной в пункте 1.7 раздела I Положения,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управление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округа, а также ответственным исполнителям.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8.8. Управление экономического развит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ия администрации Валуйского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ежеквартально до 5-го числа второго месяца, следующего за отчетным кварталом (за исключением IV квартала), формирует сводный ежеквартальный отчет о ходе реализации муниципальных программ (комплексных программ).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8.9. Управление экономического развития администрации Валуйского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округа ежегодно проводит оценку эффективности реализации муниципальн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ой программы (комплексной программы), подготавливает заключение об оценке эффективности реализации муниципальной программы (комплексной программы) и направляет его ответственному исполнителю в срок до 1 мая года, следующего за отчетным.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8.10. Оценка эффективности реализации муниципальной программы (комплексной программы) осуществляется на основании годовых отчетов о реализации муниципальной программы (комплексной программы), представляемых ответственным исполнителем.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8.11. Оценка эффективности реализации муниципальной программы (комплексной программы) осуществляется по следующим критериям: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9780" w:type="dxa"/>
        <w:tblInd w:w="6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1139"/>
        <w:gridCol w:w="4819"/>
        <w:gridCol w:w="1275"/>
      </w:tblGrid>
      <w:tr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ru-RU"/>
              </w:rPr>
              <w:t xml:space="preserve">№ п/п</w:t>
            </w:r>
            <w:r>
              <w:rPr>
                <w:color w:val="auto"/>
              </w:rPr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ru-RU"/>
              </w:rPr>
              <w:t xml:space="preserve">Формулировка критерия</w:t>
            </w:r>
            <w:r>
              <w:rPr>
                <w:color w:val="auto"/>
              </w:rPr>
            </w:r>
            <w:r/>
          </w:p>
        </w:tc>
        <w:tc>
          <w:tcPr>
            <w:tcW w:w="11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ru-RU"/>
              </w:rPr>
              <w:t xml:space="preserve">Весовой коэффи-циент</w:t>
            </w:r>
            <w:r>
              <w:rPr>
                <w:color w:val="auto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ru-RU"/>
              </w:rPr>
              <w:t xml:space="preserve">Градации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szCs w:val="24"/>
                <w:lang w:eastAsia="ru-RU"/>
              </w:rPr>
              <w:t xml:space="preserve">Балльная оценка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1.</w:t>
            </w:r>
            <w:r>
              <w:rPr>
                <w:color w:val="auto"/>
              </w:rPr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Достижение показателей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муниципальной программы (комплексной программы) и ее структурных элементов</w:t>
            </w:r>
            <w:r>
              <w:rPr>
                <w:color w:val="auto"/>
              </w:rPr>
            </w:r>
            <w:r/>
          </w:p>
        </w:tc>
        <w:tc>
          <w:tcPr>
            <w:tcW w:w="11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0,5</w:t>
            </w:r>
            <w:r>
              <w:rPr>
                <w:color w:val="auto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1. 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(комплексной программы) и ее структурных элементов соответствует:</w:t>
            </w:r>
            <w:r>
              <w:rPr>
                <w:color w:val="auto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- 100 процентов или выше предусмотренных муниципальной программой (комплексной программой) и ее структурными                элементами – для показателей, рост значений которых свидетельствует о положительной динамике;</w:t>
            </w:r>
            <w:r>
              <w:rPr>
                <w:color w:val="auto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- 100 процентов или ниже предусмотренных муниципальной программой (комплексной программой) и ее структурными               элементами – для показателей, снижение значений которых свидетельствует                  о положительной динамике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10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2. 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(комплексной программы)и ее структурных элементов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:</w:t>
            </w:r>
            <w:r>
              <w:rPr>
                <w:color w:val="auto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- более 80 процентов, но менее                               100 процентов – для показателей, рост значений которых свидетельствует                             о положительной динамике;</w:t>
            </w:r>
            <w:r>
              <w:rPr>
                <w:color w:val="auto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- более 100 процентов, но менее                               120 процентов – для показателей, снижение значений которых свидетельствует                  о положительной динамике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3. 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(комплексной программы)и ее структурных элементов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:</w:t>
            </w:r>
            <w:r>
              <w:rPr>
                <w:color w:val="auto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- от 50 процентов до 80 процентов –                       для показателей, рост значений которых свидетельствует о положительной динамике;</w:t>
            </w:r>
            <w:r>
              <w:rPr>
                <w:color w:val="auto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- от 120 процентов до 150 процентов –                    для показателей, снижение значений которых свидетельствует о положительной динамике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 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(комплексной программы)и ее структурных элементов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: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менее 50 процентов – для показателей, рост значений которых свидетельствует                             о положительной динамике;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более 150 процентов – для показателей, снижение значений которых свидетельствует о положительной динамике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(результатов) структурных элементов муниципальной программы (комплексной программы)</w:t>
            </w:r>
            <w:r/>
          </w:p>
        </w:tc>
        <w:tc>
          <w:tcPr>
            <w:tcW w:w="11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 Достижение значений выполнения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мероприятий (результатов) структурных элементов муниципальной программы (комплексной программы) соответствует: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- 100 процентов или выше                                          от запланированных, рост значений которых свидетельствует о положительной динамике;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- 100 процентов или ниже                                           от запланированных, снижение значений которых свидетельствует о положительной динамике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 Достижение значений выполнения мероприятий (результатов) структурных элементов муниципальной программы (комплексной программы):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 более 80 процентов, но менее                      100 процентов – для мероприятий (результатов), рост значений которых свидетельствует о положительной динамике;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более 100 процентов, но менее                           120 процентов – для мероприятий (результатов), снижение значений которых свидетельствует о положительной динамике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 Достижение значений выполнения мероприятий (результатов) структурных элементов муниципальной программы (комплексной программы):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от 50 процентов до 80 процентов –                        для мероприятий (результатов), рост значений которых свидетельствует                              о положительной динамике;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от 120 процентов до 150 процентов –                   для мероприятий (результатов), снижение значений которых свидетельствует                             о положительной динамике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 Достижение значений выполнения мероприятий (результатов) структурных элементов муниципальной программы (комплексной программы):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менее 50 процентов – для мероприятий (результатов), рост значений которых свидетельствует о положительной динамике;</w:t>
            </w:r>
            <w:r/>
          </w:p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более 150 процентов – для мероприятий (результатов), снижение значений которых свидетельствует о положительной динамике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</w:t>
            </w:r>
            <w:r/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Освоение бюджетных средств</w:t>
            </w:r>
            <w:r/>
          </w:p>
        </w:tc>
        <w:tc>
          <w:tcPr>
            <w:tcW w:w="11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0,2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 Средства освоены более чем                            на 95 процентов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 Средства освоены более чем                             на 75 процентов, но менее чем                    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 95 процентов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 Средства освоены более чем                             на 50 процентов, но менее чем                          на 75 процентов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1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lineRule="auto" w:line="23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 Средства освоены менее чем                                 на 50 процентов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</w:tbl>
    <w:p>
      <w:pPr>
        <w:pStyle w:val="845"/>
        <w:ind w:firstLine="851"/>
        <w:jc w:val="both"/>
        <w:spacing w:lineRule="auto" w: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8.12. Расчет итоговой оценки эффективности и присвоение рейтинга эффективности муниципальных программ (комплексных программ) осуществляются на основании критериев, их весовых значений и балльных оценок.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На основании итоговой оценки делается вывод о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б эффективности реализации муниципальной программы (комплексной программы), который оформляется заключением управления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округа и направляется ответственному исполнителю: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- если итоговая оценка составляет менее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пяти баллов – муниципальная программа (комплексная программа) реализуется неэффективно;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spacing w:lineRule="auto" w:line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- если итоговая оценка составляет пять баллов и более, но менее восьми баллов – эффективность реализации муниципальной программы (комплексной программы) низкая;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- если итоговая оценка составляет восемь баллов и более – муниципальная программа (комплексная программа) реализуется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эффективно.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8.13. Упра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влением экономического развития администрации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округа осуществляется подготовка сводного годового доклада о ходе реализации и об оценке эффективности муниципальных программ (комплексных программ) до 1 июня года, следующего за отчетным.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8.14. По предложению управления экономич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еского развития администрации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округа отчет о ходе реализации муниципальной программы (комплексной программы) может быть рассмотрен на заседании коллегии при главе администрации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8.15. По результатам оценки эффективности муниципальной программы (комплексной программы) администрация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округа может принять решение о сокращении на очередной финансовый год и плановый период бюджетных ассигнован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ий на реализацию муниципальной программы (комплексной программы) или о досрочном прекращении реализации муниципальной программы (комплексной программы) в целом или ее структурных элементов начиная с очередного финансового года.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В случае досрочного прекращения реализации муниципальной программы (комплексной программы) ответственный исполнитель представляет в управление экономического развития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администрации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округа и управление финансов и бюджетной политики администрации Валуйского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</w:rPr>
        <w:t xml:space="preserve"> округа годовой отчет в течение 2 месяцев с даты досрочного прекращения реализации муниципальной программы (комплексной программы).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rFonts w:ascii="Times New Roman" w:hAnsi="Times New Roman" w:cs="Times New Roman" w:eastAsiaTheme="minorEastAsia"/>
          <w:strike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trike/>
          <w:sz w:val="28"/>
          <w:szCs w:val="28"/>
        </w:rPr>
        <w:br w:type="page"/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Style w:val="843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8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</w:t>
            </w:r>
            <w:r/>
          </w:p>
          <w:p>
            <w:pPr>
              <w:pStyle w:val="8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Положению о системе управления</w:t>
            </w:r>
            <w:r/>
          </w:p>
          <w:p>
            <w:pPr>
              <w:pStyle w:val="8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муниципальными программами</w:t>
            </w:r>
            <w:r/>
          </w:p>
          <w:p>
            <w:pPr>
              <w:pStyle w:val="8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Валуйского муниципального округа</w:t>
            </w:r>
            <w:r/>
          </w:p>
        </w:tc>
      </w:tr>
    </w:tbl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Перечень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направлений деятельности органов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местного самоуправления Валуйского муниципального округа, не подлежащих включению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в муниципальные программы Валуйского муниципального округа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Theme="minorEastAsia"/>
          <w:color w:val="auto"/>
          <w:sz w:val="24"/>
          <w:szCs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1. Обеспечение функционирования администрации Валуйского муниципального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2. Обеспечение подготовки к проведению выборов и референдумов.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3. Реализация мероприятий, связанных с предоставлением грантов и премий, соответствующих сферам реализации нескольких муниципальных программ (до их распределения по соответствующим муниципальным программам).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4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. Обслуживание муниципального долга Валуйского муниципального округа.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5. 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муниципальных программ.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</w:rPr>
        <w:t xml:space="preserve">6. Реализация мероприятий, связанных с предоставлением субсидий, грантов и премий по направлениям, не связанным со сферой реализации муниципальных программ (развитие институтов гражданского общества).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</w:rPr>
        <w:t xml:space="preserve">7. Реализация мероприятий, обеспечивающих повышение квалификации, подготовку и переподготовку муниципальных служащих и работников, замещающих должности, не относящиеся к должностям муниципальной службы.</w:t>
      </w:r>
      <w:r>
        <w:rPr>
          <w:rFonts w:eastAsiaTheme="minorEastAsia"/>
        </w:rPr>
      </w:r>
      <w:r>
        <w:rPr>
          <w:rFonts w:eastAsiaTheme="minorEastAsia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1225200"/>
      <w:rPr/>
    </w:sdtPr>
    <w:sdtContent>
      <w:p>
        <w:pPr>
          <w:pStyle w:val="83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7">
    <w:name w:val="Heading 1 Char"/>
    <w:basedOn w:val="830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29"/>
    <w:next w:val="829"/>
    <w:link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9">
    <w:name w:val="Heading 2 Char"/>
    <w:basedOn w:val="830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29"/>
    <w:next w:val="829"/>
    <w:link w:val="66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1">
    <w:name w:val="Heading 3 Char"/>
    <w:basedOn w:val="830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29"/>
    <w:next w:val="829"/>
    <w:link w:val="6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3">
    <w:name w:val="Heading 4 Char"/>
    <w:basedOn w:val="830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5">
    <w:name w:val="Heading 5 Char"/>
    <w:basedOn w:val="830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7">
    <w:name w:val="Heading 6 Char"/>
    <w:basedOn w:val="830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9">
    <w:name w:val="Heading 7 Char"/>
    <w:basedOn w:val="830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1">
    <w:name w:val="Heading 8 Char"/>
    <w:basedOn w:val="830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>
    <w:name w:val="Heading 9 Char"/>
    <w:basedOn w:val="830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29"/>
    <w:qFormat/>
    <w:uiPriority w:val="34"/>
    <w:pPr>
      <w:contextualSpacing w:val="true"/>
      <w:ind w:left="720"/>
    </w:pPr>
  </w:style>
  <w:style w:type="paragraph" w:styleId="675">
    <w:name w:val="No Spacing"/>
    <w:qFormat/>
    <w:uiPriority w:val="1"/>
    <w:pPr>
      <w:spacing w:lineRule="auto" w:line="240" w:after="0" w:before="0"/>
    </w:pPr>
  </w:style>
  <w:style w:type="paragraph" w:styleId="676">
    <w:name w:val="Title"/>
    <w:basedOn w:val="829"/>
    <w:next w:val="829"/>
    <w:link w:val="67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7">
    <w:name w:val="Title Char"/>
    <w:basedOn w:val="830"/>
    <w:link w:val="676"/>
    <w:uiPriority w:val="10"/>
    <w:rPr>
      <w:sz w:val="48"/>
      <w:szCs w:val="48"/>
    </w:rPr>
  </w:style>
  <w:style w:type="paragraph" w:styleId="678">
    <w:name w:val="Subtitle"/>
    <w:basedOn w:val="829"/>
    <w:next w:val="829"/>
    <w:link w:val="679"/>
    <w:qFormat/>
    <w:uiPriority w:val="11"/>
    <w:rPr>
      <w:sz w:val="24"/>
      <w:szCs w:val="24"/>
    </w:rPr>
    <w:pPr>
      <w:spacing w:after="200" w:before="200"/>
    </w:pPr>
  </w:style>
  <w:style w:type="character" w:styleId="679">
    <w:name w:val="Subtitle Char"/>
    <w:basedOn w:val="830"/>
    <w:link w:val="678"/>
    <w:uiPriority w:val="11"/>
    <w:rPr>
      <w:sz w:val="24"/>
      <w:szCs w:val="24"/>
    </w:rPr>
  </w:style>
  <w:style w:type="paragraph" w:styleId="680">
    <w:name w:val="Quote"/>
    <w:basedOn w:val="829"/>
    <w:next w:val="829"/>
    <w:link w:val="681"/>
    <w:qFormat/>
    <w:uiPriority w:val="29"/>
    <w:rPr>
      <w:i/>
    </w:rPr>
    <w:pPr>
      <w:ind w:left="720" w:right="720"/>
    </w:p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29"/>
    <w:next w:val="829"/>
    <w:link w:val="68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0"/>
    <w:link w:val="839"/>
    <w:uiPriority w:val="99"/>
  </w:style>
  <w:style w:type="character" w:styleId="685">
    <w:name w:val="Footer Char"/>
    <w:basedOn w:val="830"/>
    <w:link w:val="841"/>
    <w:uiPriority w:val="99"/>
  </w:style>
  <w:style w:type="paragraph" w:styleId="686">
    <w:name w:val="Caption"/>
    <w:basedOn w:val="829"/>
    <w:next w:val="82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7">
    <w:name w:val="Caption Char"/>
    <w:basedOn w:val="686"/>
    <w:link w:val="841"/>
    <w:uiPriority w:val="99"/>
  </w:style>
  <w:style w:type="table" w:styleId="688">
    <w:name w:val="Table Grid Light"/>
    <w:basedOn w:val="8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>
    <w:name w:val="Grid Table 1 Light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4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>
    <w:name w:val="Grid Table 4 - Accent 1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7">
    <w:name w:val="Grid Table 4 - Accent 2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8">
    <w:name w:val="Grid Table 4 - Accent 3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9">
    <w:name w:val="Grid Table 4 - Accent 4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0">
    <w:name w:val="Grid Table 4 - Accent 5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1">
    <w:name w:val="Grid Table 4 - Accent 6"/>
    <w:basedOn w:val="8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2">
    <w:name w:val="Grid Table 5 Dark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3">
    <w:name w:val="Grid Table 5 Dark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29">
    <w:name w:val="Grid Table 6 Colorful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1">
    <w:name w:val="List Table 2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2">
    <w:name w:val="List Table 2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3">
    <w:name w:val="List Table 2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4">
    <w:name w:val="List Table 2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5">
    <w:name w:val="List Table 2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6">
    <w:name w:val="List Table 2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7">
    <w:name w:val="List Table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9">
    <w:name w:val="List Table 6 Colorful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0">
    <w:name w:val="List Table 6 Colorful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1">
    <w:name w:val="List Table 6 Colorful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2">
    <w:name w:val="List Table 6 Colorful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3">
    <w:name w:val="List Table 6 Colorful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4">
    <w:name w:val="List Table 6 Colorful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5">
    <w:name w:val="List Table 7 Colorful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3">
    <w:name w:val="Lined - Accent 1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4">
    <w:name w:val="Lined - Accent 2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5">
    <w:name w:val="Lined - Accent 3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6">
    <w:name w:val="Lined - Accent 4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7">
    <w:name w:val="Lined - Accent 5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8">
    <w:name w:val="Lined - Accent 6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9">
    <w:name w:val="Bordered &amp; Lined - Accent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0">
    <w:name w:val="Bordered &amp; Lined - Accent 1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1">
    <w:name w:val="Bordered &amp; Lined - Accent 2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2">
    <w:name w:val="Bordered &amp; Lined - Accent 3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3">
    <w:name w:val="Bordered &amp; Lined - Accent 4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4">
    <w:name w:val="Bordered &amp; Lined - Accent 5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5">
    <w:name w:val="Bordered &amp; Lined - Accent 6"/>
    <w:basedOn w:val="8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6">
    <w:name w:val="Bordered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7">
    <w:name w:val="Bordered - Accent 1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8">
    <w:name w:val="Bordered - Accent 2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9">
    <w:name w:val="Bordered - Accent 3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0">
    <w:name w:val="Bordered - Accent 4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1">
    <w:name w:val="Bordered - Accent 5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2">
    <w:name w:val="Bordered - Accent 6"/>
    <w:basedOn w:val="8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3">
    <w:name w:val="footnote text"/>
    <w:basedOn w:val="829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paragraph" w:styleId="815">
    <w:name w:val="endnote text"/>
    <w:basedOn w:val="829"/>
    <w:link w:val="816"/>
    <w:uiPriority w:val="99"/>
    <w:semiHidden/>
    <w:unhideWhenUsed/>
    <w:rPr>
      <w:sz w:val="20"/>
    </w:rPr>
    <w:pPr>
      <w:spacing w:lineRule="auto" w:line="240" w:after="0"/>
    </w:p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footnote reference"/>
    <w:uiPriority w:val="99"/>
    <w:semiHidden/>
    <w:rPr>
      <w:rFonts w:cs="Times New Roman"/>
      <w:vertAlign w:val="superscript"/>
    </w:rPr>
  </w:style>
  <w:style w:type="character" w:styleId="834">
    <w:name w:val="annotation reference"/>
    <w:basedOn w:val="830"/>
    <w:uiPriority w:val="99"/>
    <w:semiHidden/>
    <w:unhideWhenUsed/>
    <w:rPr>
      <w:sz w:val="16"/>
      <w:szCs w:val="16"/>
    </w:rPr>
  </w:style>
  <w:style w:type="character" w:styleId="835">
    <w:name w:val="Hyperlink"/>
    <w:basedOn w:val="830"/>
    <w:uiPriority w:val="99"/>
    <w:unhideWhenUsed/>
    <w:rPr>
      <w:color w:val="0000FF"/>
      <w:u w:val="single"/>
    </w:rPr>
  </w:style>
  <w:style w:type="paragraph" w:styleId="836">
    <w:name w:val="Balloon Text"/>
    <w:basedOn w:val="829"/>
    <w:link w:val="84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paragraph" w:styleId="837">
    <w:name w:val="annotation text"/>
    <w:basedOn w:val="829"/>
    <w:link w:val="847"/>
    <w:uiPriority w:val="99"/>
    <w:semiHidden/>
    <w:unhideWhenUsed/>
    <w:rPr>
      <w:sz w:val="20"/>
      <w:szCs w:val="20"/>
    </w:rPr>
    <w:pPr>
      <w:spacing w:lineRule="auto" w:line="240"/>
    </w:pPr>
  </w:style>
  <w:style w:type="paragraph" w:styleId="838">
    <w:name w:val="annotation subject"/>
    <w:basedOn w:val="837"/>
    <w:next w:val="837"/>
    <w:link w:val="848"/>
    <w:uiPriority w:val="99"/>
    <w:semiHidden/>
    <w:unhideWhenUsed/>
    <w:rPr>
      <w:b/>
      <w:bCs/>
    </w:rPr>
  </w:style>
  <w:style w:type="paragraph" w:styleId="839">
    <w:name w:val="Header"/>
    <w:basedOn w:val="829"/>
    <w:link w:val="85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40">
    <w:name w:val="Body Text"/>
    <w:basedOn w:val="829"/>
    <w:qFormat/>
    <w:pPr>
      <w:jc w:val="both"/>
    </w:pPr>
  </w:style>
  <w:style w:type="paragraph" w:styleId="841">
    <w:name w:val="Footer"/>
    <w:basedOn w:val="829"/>
    <w:link w:val="85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42">
    <w:name w:val="Body Text 3"/>
    <w:basedOn w:val="829"/>
    <w:link w:val="853"/>
    <w:uiPriority w:val="99"/>
    <w:unhideWhenUsed/>
    <w:rPr>
      <w:sz w:val="16"/>
      <w:szCs w:val="16"/>
    </w:rPr>
    <w:pPr>
      <w:spacing w:after="120"/>
    </w:pPr>
  </w:style>
  <w:style w:type="table" w:styleId="843">
    <w:name w:val="Table Grid"/>
    <w:basedOn w:val="831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 w:customStyle="1">
    <w:name w:val="ConsPlusTitlePage"/>
    <w:rPr>
      <w:rFonts w:ascii="Tahoma" w:hAnsi="Tahoma" w:cs="Tahoma" w:eastAsiaTheme="minorEastAsia"/>
      <w:sz w:val="22"/>
      <w:szCs w:val="22"/>
    </w:rPr>
    <w:pPr>
      <w:widowControl w:val="off"/>
    </w:pPr>
  </w:style>
  <w:style w:type="paragraph" w:styleId="845" w:customStyle="1">
    <w:name w:val="ConsPlusNormal"/>
    <w:qFormat/>
    <w:rPr>
      <w:rFonts w:ascii="Calibri" w:hAnsi="Calibri" w:cs="Calibri" w:eastAsiaTheme="minorEastAsia"/>
      <w:sz w:val="22"/>
      <w:szCs w:val="22"/>
    </w:rPr>
    <w:pPr>
      <w:widowControl w:val="off"/>
    </w:pPr>
  </w:style>
  <w:style w:type="paragraph" w:styleId="846" w:customStyle="1">
    <w:name w:val="ConsPlusTitle"/>
    <w:qFormat/>
    <w:rPr>
      <w:rFonts w:ascii="Calibri" w:hAnsi="Calibri" w:cs="Calibri" w:eastAsiaTheme="minorEastAsia"/>
      <w:b/>
      <w:sz w:val="22"/>
      <w:szCs w:val="22"/>
    </w:rPr>
    <w:pPr>
      <w:widowControl w:val="off"/>
    </w:pPr>
  </w:style>
  <w:style w:type="character" w:styleId="847" w:customStyle="1">
    <w:name w:val="Текст примечания Знак"/>
    <w:basedOn w:val="830"/>
    <w:link w:val="837"/>
    <w:uiPriority w:val="99"/>
    <w:semiHidden/>
    <w:rPr>
      <w:sz w:val="20"/>
      <w:szCs w:val="20"/>
    </w:rPr>
  </w:style>
  <w:style w:type="character" w:styleId="848" w:customStyle="1">
    <w:name w:val="Тема примечания Знак"/>
    <w:basedOn w:val="847"/>
    <w:link w:val="838"/>
    <w:qFormat/>
    <w:uiPriority w:val="99"/>
    <w:semiHidden/>
    <w:rPr>
      <w:b/>
      <w:bCs/>
      <w:sz w:val="20"/>
      <w:szCs w:val="20"/>
    </w:rPr>
  </w:style>
  <w:style w:type="character" w:styleId="849" w:customStyle="1">
    <w:name w:val="Текст выноски Знак"/>
    <w:basedOn w:val="830"/>
    <w:link w:val="836"/>
    <w:qFormat/>
    <w:uiPriority w:val="99"/>
    <w:semiHidden/>
    <w:rPr>
      <w:rFonts w:ascii="Tahoma" w:hAnsi="Tahoma" w:cs="Tahoma"/>
      <w:sz w:val="16"/>
      <w:szCs w:val="16"/>
    </w:rPr>
  </w:style>
  <w:style w:type="character" w:styleId="850" w:customStyle="1">
    <w:name w:val="Верхний колонтитул Знак"/>
    <w:basedOn w:val="830"/>
    <w:link w:val="839"/>
    <w:uiPriority w:val="99"/>
  </w:style>
  <w:style w:type="character" w:styleId="851" w:customStyle="1">
    <w:name w:val="Нижний колонтитул Знак"/>
    <w:basedOn w:val="830"/>
    <w:link w:val="841"/>
    <w:uiPriority w:val="99"/>
  </w:style>
  <w:style w:type="character" w:styleId="852" w:customStyle="1">
    <w:name w:val="Сильное выделение1"/>
    <w:basedOn w:val="830"/>
    <w:qFormat/>
    <w:uiPriority w:val="21"/>
    <w:rPr>
      <w:b/>
      <w:bCs/>
      <w:i/>
      <w:iCs/>
      <w:color w:val="4F81BD" w:themeColor="accent1"/>
    </w:rPr>
  </w:style>
  <w:style w:type="character" w:styleId="853" w:customStyle="1">
    <w:name w:val="Основной текст 3 Знак"/>
    <w:basedOn w:val="830"/>
    <w:link w:val="842"/>
    <w:uiPriority w:val="99"/>
    <w:rPr>
      <w:sz w:val="16"/>
      <w:szCs w:val="16"/>
    </w:rPr>
  </w:style>
  <w:style w:type="paragraph" w:styleId="854">
    <w:name w:val="Normal (Web)"/>
    <w:basedOn w:val="82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242BD3802A66AF75DF4F71A41ED70021DF274433C43B575B8EF336A3AC5587176BB76F157343188188058249F9F05B9D7D8070B958D7D4A8n331M" TargetMode="External"/><Relationship Id="rId14" Type="http://schemas.openxmlformats.org/officeDocument/2006/relationships/hyperlink" Target="consultantplus://offline/ref=05617D9914C003A755EF69C780017B2D8B0606B6E1603A26EFCB021F204231ED3C5F189ED6C3DA3A9F01ECCD29A89787906CCAB221BF947Dp7Y4I" TargetMode="External"/><Relationship Id="rId15" Type="http://schemas.openxmlformats.org/officeDocument/2006/relationships/hyperlink" Target="consultantplus://offline/ref=50DF2BBBF1EFD81A532872EBC33BF2821A41AD40837BE4049625C0EA3922EF826DF565FAFE804925887DB04DCB0B4A9A99B0E5AECAB26EE104o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555EE42-6ED4-4A87-8BB1-8750775E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revision>133</cp:revision>
  <dcterms:created xsi:type="dcterms:W3CDTF">2023-09-22T05:40:00Z</dcterms:created>
  <dcterms:modified xsi:type="dcterms:W3CDTF">2025-03-21T13:25:13Z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79BDDF4B37CF4152BC64FB05F6F22BE1_13</vt:lpwstr>
  </property>
</Properties>
</file>