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1953007E">
      <w:pPr>
        <w:autoSpaceDE/>
        <w:autoSpaceDN/>
        <w:spacing w:line="200" w:lineRule="exact"/>
        <w:jc w:val="center"/>
        <w:rPr>
          <w:rFonts w:asciiTheme="minorHAnsi" w:hAnsiTheme="minorHAnsi" w:eastAsiaTheme="minorHAnsi" w:cstheme="minorBidi"/>
          <w:sz w:val="20"/>
          <w:szCs w:val="20"/>
          <w:lang w:val="ru-RU"/>
        </w:rPr>
      </w:pPr>
      <w:r>
        <w:rPr>
          <w:lang w:val="ru-RU" w:eastAsia="ru-RU"/>
        </w:rPr>
        <mc:AlternateContent>
          <mc:Choice Requires="wpg">
            <w:drawing>
              <wp:anchor distT="0" distB="0" distL="114300" distR="114300" simplePos="0" relativeHeight="251659264" behindDoc="1" locked="0" layoutInCell="1" allowOverlap="1">
                <wp:simplePos x="0" y="0"/>
                <wp:positionH relativeFrom="column">
                  <wp:posOffset>-428625</wp:posOffset>
                </wp:positionH>
                <wp:positionV relativeFrom="paragraph">
                  <wp:posOffset>-80645</wp:posOffset>
                </wp:positionV>
                <wp:extent cx="6897370" cy="10220325"/>
                <wp:effectExtent l="0" t="0" r="17780" b="28575"/>
                <wp:wrapNone/>
                <wp:docPr id="2" name="Группа 1"/>
                <wp:cNvGraphicFramePr/>
                <a:graphic xmlns:a="http://schemas.openxmlformats.org/drawingml/2006/main">
                  <a:graphicData uri="http://schemas.microsoft.com/office/word/2010/wordprocessingGroup">
                    <wpg:wgp>
                      <wpg:cNvGrpSpPr/>
                      <wpg:grpSpPr>
                        <a:xfrm>
                          <a:off x="0" y="0"/>
                          <a:ext cx="6897370" cy="10220325"/>
                          <a:chOff x="879" y="496"/>
                          <a:chExt cx="10743" cy="15420"/>
                        </a:xfrm>
                      </wpg:grpSpPr>
                      <wps:wsp>
                        <wps:cNvPr id="3" name="Rectangle 4"/>
                        <wps:cNvSpPr>
                          <a:spLocks noChangeArrowheads="1"/>
                        </wps:cNvSpPr>
                        <wps:spPr bwMode="auto">
                          <a:xfrm>
                            <a:off x="879" y="496"/>
                            <a:ext cx="10743" cy="15420"/>
                          </a:xfrm>
                          <a:prstGeom prst="rect">
                            <a:avLst/>
                          </a:prstGeom>
                          <a:noFill/>
                          <a:ln w="6350">
                            <a:solidFill>
                              <a:srgbClr val="800000"/>
                            </a:solidFill>
                            <a:miter lim="800000"/>
                          </a:ln>
                        </wps:spPr>
                        <wps:bodyPr rot="0" vert="horz" wrap="square" lIns="91440" tIns="45720" rIns="91440" bIns="45720" anchor="t" anchorCtr="0" upright="1">
                          <a:noAutofit/>
                        </wps:bodyPr>
                      </wps:wsp>
                      <wps:wsp>
                        <wps:cNvPr id="4" name="Rectangle 5"/>
                        <wps:cNvSpPr>
                          <a:spLocks noChangeArrowheads="1"/>
                        </wps:cNvSpPr>
                        <wps:spPr bwMode="auto">
                          <a:xfrm>
                            <a:off x="970" y="594"/>
                            <a:ext cx="10560" cy="15240"/>
                          </a:xfrm>
                          <a:prstGeom prst="rect">
                            <a:avLst/>
                          </a:prstGeom>
                          <a:noFill/>
                          <a:ln w="19050">
                            <a:solidFill>
                              <a:srgbClr val="800000"/>
                            </a:solidFill>
                            <a:miter lim="800000"/>
                          </a:ln>
                        </wps:spPr>
                        <wps:bodyPr rot="0" vert="horz" wrap="square" lIns="91440" tIns="45720" rIns="91440" bIns="45720" anchor="t" anchorCtr="0" upright="1">
                          <a:noAutofit/>
                        </wps:bodyPr>
                      </wps:wsp>
                    </wpg:wgp>
                  </a:graphicData>
                </a:graphic>
              </wp:anchor>
            </w:drawing>
          </mc:Choice>
          <mc:Fallback>
            <w:pict>
              <v:group id="Группа 1" o:spid="_x0000_s1026" o:spt="203" style="position:absolute;left:0pt;margin-left:-33.75pt;margin-top:-6.35pt;height:804.75pt;width:543.1pt;z-index:-251657216;mso-width-relative:page;mso-height-relative:page;" coordorigin="879,496" coordsize="10743,15420" o:gfxdata="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">
                <o:lock v:ext="edit" aspectratio="f"/>
                <v:rect id="Rectangle 4" o:spid="_x0000_s1026" o:spt="1" style="position:absolute;left:879;top:496;height:15420;width:10743;" filled="f" stroked="t" coordsize="21600,21600" o:gfxdata="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mMvQ6ugAAANoA&#10;AAAPAAAAAAAAAAEAIAAAACIAAABkcnMvZG93bnJldi54bWxQSwECFAAUAAAACACHTuJAMy8FnjsA&#10;AAA5AAAAEAAAAAAAAAABACAAAAAJAQAAZHJzL3NoYXBleG1sLnhtbFBLBQYAAAAABgAGAFsBAACz&#10;AwAAAAA=&#10;">
                  <v:fill on="f" focussize="0,0"/>
                  <v:stroke weight="0.5pt" color="#800000" miterlimit="8" joinstyle="miter"/>
                  <v:imagedata o:title=""/>
                  <o:lock v:ext="edit" aspectratio="f"/>
                </v:rect>
                <v:rect id="Rectangle 5" o:spid="_x0000_s1026" o:spt="1" style="position:absolute;left:970;top:594;height:15240;width:10560;" filled="f" stroked="t" coordsize="21600,21600" o:gfxdata="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9qcTCvQAA&#10;ANoAAAAPAAAAAAAAAAEAIAAAACIAAABkcnMvZG93bnJldi54bWxQSwECFAAUAAAACACHTuJAMy8F&#10;njsAAAA5AAAAEAAAAAAAAAABACAAAAAMAQAAZHJzL3NoYXBleG1sLnhtbFBLBQYAAAAABgAGAFsB&#10;AAC2AwAAAAA=&#10;">
                  <v:fill on="f" focussize="0,0"/>
                  <v:stroke weight="1.5pt" color="#800000" miterlimit="8" joinstyle="miter"/>
                  <v:imagedata o:title=""/>
                  <o:lock v:ext="edit" aspectratio="f"/>
                </v:rect>
              </v:group>
            </w:pict>
          </mc:Fallback>
        </mc:AlternateContent>
      </w:r>
    </w:p>
    <w:p w14:paraId="4811A57A">
      <w:pPr>
        <w:widowControl/>
        <w:suppressAutoHyphens/>
        <w:autoSpaceDE/>
        <w:autoSpaceDN/>
        <w:ind w:firstLine="851"/>
        <w:jc w:val="center"/>
        <w:rPr>
          <w:sz w:val="28"/>
          <w:szCs w:val="24"/>
          <w:lang w:val="ru-RU" w:eastAsia="ru-RU"/>
        </w:rPr>
      </w:pPr>
    </w:p>
    <w:p w14:paraId="1F7BC1A4">
      <w:pPr>
        <w:pStyle w:val="30"/>
        <w:jc w:val="center"/>
        <w:rPr>
          <w:lang w:val="ru-RU"/>
        </w:rPr>
      </w:pPr>
      <w:r>
        <w:rPr>
          <w:lang w:val="ru-RU"/>
        </w:rPr>
        <w:t>Общество с ограниченной ответственностью</w:t>
      </w:r>
    </w:p>
    <w:p w14:paraId="6489FB6F">
      <w:pPr>
        <w:pStyle w:val="30"/>
        <w:jc w:val="center"/>
        <w:rPr>
          <w:sz w:val="32"/>
          <w:szCs w:val="32"/>
          <w:lang w:val="ru-RU"/>
        </w:rPr>
      </w:pPr>
      <w:r>
        <w:rPr>
          <w:sz w:val="32"/>
          <w:szCs w:val="32"/>
          <w:lang w:val="ru-RU"/>
        </w:rPr>
        <w:t>«Архитектурно-планировочное бюро»</w:t>
      </w:r>
    </w:p>
    <w:p w14:paraId="2D429DAF">
      <w:pPr>
        <w:pBdr>
          <w:top w:val="single" w:color="auto" w:sz="12" w:space="0"/>
          <w:bottom w:val="single" w:color="auto" w:sz="12" w:space="0"/>
        </w:pBdr>
        <w:jc w:val="center"/>
        <w:rPr>
          <w:b/>
          <w:sz w:val="20"/>
          <w:lang w:val="ru-RU"/>
        </w:rPr>
      </w:pPr>
      <w:r>
        <w:rPr>
          <w:b/>
          <w:sz w:val="20"/>
          <w:lang w:val="ru-RU"/>
        </w:rPr>
        <w:t>308009, г. Белгород, ул. Князя Трубецкого, д. 40, оф.10, (4722)273451 ИНН 3100032530</w:t>
      </w:r>
    </w:p>
    <w:p w14:paraId="7304E5A7">
      <w:pPr>
        <w:autoSpaceDE/>
        <w:autoSpaceDN/>
        <w:ind w:right="85"/>
        <w:jc w:val="center"/>
        <w:rPr>
          <w:sz w:val="24"/>
          <w:szCs w:val="24"/>
          <w:lang w:val="ru-RU"/>
        </w:rPr>
      </w:pPr>
    </w:p>
    <w:p w14:paraId="69E727C8">
      <w:pPr>
        <w:autoSpaceDE/>
        <w:autoSpaceDN/>
        <w:spacing w:line="200" w:lineRule="exact"/>
        <w:jc w:val="center"/>
        <w:rPr>
          <w:rFonts w:asciiTheme="minorHAnsi" w:hAnsiTheme="minorHAnsi" w:eastAsiaTheme="minorHAnsi" w:cstheme="minorBidi"/>
          <w:sz w:val="20"/>
          <w:szCs w:val="20"/>
          <w:lang w:val="ru-RU"/>
        </w:rPr>
      </w:pPr>
    </w:p>
    <w:p w14:paraId="6D8465BE">
      <w:pPr>
        <w:tabs>
          <w:tab w:val="left" w:pos="6946"/>
        </w:tabs>
        <w:ind w:left="1843" w:right="1571"/>
        <w:jc w:val="center"/>
        <w:rPr>
          <w:b/>
          <w:spacing w:val="-1"/>
          <w:sz w:val="30"/>
          <w:szCs w:val="30"/>
          <w:lang w:val="ru-RU"/>
        </w:rPr>
      </w:pPr>
      <w:r>
        <w:rPr>
          <w:b/>
          <w:spacing w:val="-1"/>
          <w:sz w:val="30"/>
          <w:szCs w:val="30"/>
          <w:lang w:val="ru-RU"/>
        </w:rPr>
        <w:t>Договор № 133 от 21</w:t>
      </w:r>
      <w:bookmarkStart w:id="34" w:name="_GoBack"/>
      <w:bookmarkEnd w:id="34"/>
      <w:r>
        <w:rPr>
          <w:b/>
          <w:spacing w:val="-1"/>
          <w:sz w:val="30"/>
          <w:szCs w:val="30"/>
          <w:lang w:val="ru-RU"/>
        </w:rPr>
        <w:t>.05.2025 г.</w:t>
      </w:r>
    </w:p>
    <w:p w14:paraId="1952E015">
      <w:pPr>
        <w:jc w:val="center"/>
        <w:rPr>
          <w:bCs/>
          <w:sz w:val="24"/>
          <w:szCs w:val="24"/>
          <w:lang w:val="ru-RU" w:eastAsia="ru-RU"/>
        </w:rPr>
      </w:pPr>
    </w:p>
    <w:p w14:paraId="499243AB">
      <w:pPr>
        <w:autoSpaceDE/>
        <w:autoSpaceDN/>
        <w:spacing w:before="16" w:line="220" w:lineRule="exact"/>
        <w:jc w:val="center"/>
        <w:rPr>
          <w:rFonts w:asciiTheme="minorHAnsi" w:hAnsiTheme="minorHAnsi" w:eastAsiaTheme="minorHAnsi" w:cstheme="minorBidi"/>
          <w:lang w:val="ru-RU"/>
        </w:rPr>
      </w:pPr>
    </w:p>
    <w:p w14:paraId="5114103E">
      <w:pPr>
        <w:autoSpaceDE/>
        <w:autoSpaceDN/>
        <w:spacing w:before="3" w:line="190" w:lineRule="exact"/>
        <w:jc w:val="center"/>
        <w:rPr>
          <w:rFonts w:asciiTheme="minorHAnsi" w:hAnsiTheme="minorHAnsi" w:eastAsiaTheme="minorHAnsi" w:cstheme="minorBidi"/>
          <w:sz w:val="19"/>
          <w:szCs w:val="19"/>
          <w:lang w:val="ru-RU"/>
        </w:rPr>
      </w:pPr>
    </w:p>
    <w:p w14:paraId="7BB2007D">
      <w:pPr>
        <w:autoSpaceDE/>
        <w:autoSpaceDN/>
        <w:spacing w:line="200" w:lineRule="exact"/>
        <w:jc w:val="center"/>
        <w:rPr>
          <w:rFonts w:asciiTheme="minorHAnsi" w:hAnsiTheme="minorHAnsi" w:eastAsiaTheme="minorHAnsi" w:cstheme="minorBidi"/>
          <w:sz w:val="20"/>
          <w:szCs w:val="20"/>
          <w:lang w:val="ru-RU"/>
        </w:rPr>
      </w:pPr>
    </w:p>
    <w:tbl>
      <w:tblPr>
        <w:tblStyle w:val="11"/>
        <w:tblW w:w="0" w:type="auto"/>
        <w:tblInd w:w="0" w:type="dxa"/>
        <w:tblLayout w:type="autofit"/>
        <w:tblCellMar>
          <w:top w:w="0" w:type="dxa"/>
          <w:left w:w="108" w:type="dxa"/>
          <w:bottom w:w="0" w:type="dxa"/>
          <w:right w:w="108" w:type="dxa"/>
        </w:tblCellMar>
      </w:tblPr>
      <w:tblGrid>
        <w:gridCol w:w="2718"/>
        <w:gridCol w:w="7274"/>
      </w:tblGrid>
      <w:tr w14:paraId="51E76ACA">
        <w:tblPrEx>
          <w:tblCellMar>
            <w:top w:w="0" w:type="dxa"/>
            <w:left w:w="108" w:type="dxa"/>
            <w:bottom w:w="0" w:type="dxa"/>
            <w:right w:w="108" w:type="dxa"/>
          </w:tblCellMar>
        </w:tblPrEx>
        <w:trPr>
          <w:trHeight w:val="315" w:hRule="atLeast"/>
        </w:trPr>
        <w:tc>
          <w:tcPr>
            <w:tcW w:w="2718" w:type="dxa"/>
            <w:shd w:val="clear" w:color="auto" w:fill="auto"/>
          </w:tcPr>
          <w:p w14:paraId="05ACD61B">
            <w:pPr>
              <w:rPr>
                <w:sz w:val="28"/>
                <w:szCs w:val="28"/>
                <w:lang w:val="ru-RU"/>
              </w:rPr>
            </w:pPr>
            <w:r>
              <w:rPr>
                <w:b/>
                <w:sz w:val="28"/>
                <w:szCs w:val="28"/>
              </w:rPr>
              <w:t>Заказчик:</w:t>
            </w:r>
            <w:r>
              <w:rPr>
                <w:b/>
                <w:sz w:val="28"/>
                <w:szCs w:val="28"/>
                <w:lang w:val="ru-RU"/>
              </w:rPr>
              <w:t xml:space="preserve">     </w:t>
            </w:r>
          </w:p>
        </w:tc>
        <w:tc>
          <w:tcPr>
            <w:tcW w:w="7274" w:type="dxa"/>
            <w:shd w:val="clear" w:color="auto" w:fill="auto"/>
          </w:tcPr>
          <w:p w14:paraId="25089B79">
            <w:pPr>
              <w:rPr>
                <w:sz w:val="28"/>
                <w:szCs w:val="28"/>
              </w:rPr>
            </w:pPr>
            <w:r>
              <w:rPr>
                <w:spacing w:val="2"/>
                <w:sz w:val="28"/>
                <w:szCs w:val="28"/>
              </w:rPr>
              <w:t xml:space="preserve">Администрация </w:t>
            </w:r>
            <w:r>
              <w:rPr>
                <w:sz w:val="28"/>
                <w:szCs w:val="28"/>
                <w:lang w:val="ru-RU"/>
              </w:rPr>
              <w:t>Валуйского муниципального округа</w:t>
            </w:r>
          </w:p>
        </w:tc>
      </w:tr>
    </w:tbl>
    <w:p w14:paraId="30DBBD47">
      <w:pPr>
        <w:autoSpaceDE/>
        <w:autoSpaceDN/>
        <w:spacing w:line="200" w:lineRule="exact"/>
        <w:jc w:val="center"/>
        <w:rPr>
          <w:rFonts w:asciiTheme="minorHAnsi" w:hAnsiTheme="minorHAnsi" w:eastAsiaTheme="minorHAnsi" w:cstheme="minorBidi"/>
          <w:sz w:val="20"/>
          <w:szCs w:val="20"/>
          <w:lang w:val="ru-RU"/>
        </w:rPr>
      </w:pPr>
    </w:p>
    <w:p w14:paraId="62778AAD">
      <w:pPr>
        <w:autoSpaceDE/>
        <w:autoSpaceDN/>
        <w:spacing w:line="200" w:lineRule="exact"/>
        <w:jc w:val="center"/>
        <w:rPr>
          <w:rFonts w:asciiTheme="minorHAnsi" w:hAnsiTheme="minorHAnsi" w:eastAsiaTheme="minorHAnsi" w:cstheme="minorBidi"/>
          <w:sz w:val="20"/>
          <w:szCs w:val="20"/>
          <w:lang w:val="ru-RU"/>
        </w:rPr>
      </w:pPr>
    </w:p>
    <w:p w14:paraId="1218F814">
      <w:pPr>
        <w:autoSpaceDE/>
        <w:autoSpaceDN/>
        <w:spacing w:line="200" w:lineRule="exact"/>
        <w:jc w:val="center"/>
        <w:rPr>
          <w:rFonts w:asciiTheme="minorHAnsi" w:hAnsiTheme="minorHAnsi" w:eastAsiaTheme="minorHAnsi" w:cstheme="minorBidi"/>
          <w:sz w:val="20"/>
          <w:szCs w:val="20"/>
          <w:lang w:val="ru-RU"/>
        </w:rPr>
      </w:pPr>
    </w:p>
    <w:p w14:paraId="2D48F4DB">
      <w:pPr>
        <w:spacing w:line="359" w:lineRule="auto"/>
        <w:ind w:right="86"/>
        <w:jc w:val="center"/>
        <w:rPr>
          <w:b/>
          <w:bCs/>
          <w:sz w:val="44"/>
          <w:szCs w:val="44"/>
          <w:lang w:val="ru-RU"/>
        </w:rPr>
      </w:pPr>
      <w:r>
        <w:rPr>
          <w:b/>
          <w:bCs/>
          <w:sz w:val="44"/>
          <w:szCs w:val="44"/>
          <w:lang w:val="ru-RU"/>
        </w:rPr>
        <w:t>ГЕНЕРАЛЬНЫЙ ПЛАН С. СУХАРЕВО</w:t>
      </w:r>
    </w:p>
    <w:p w14:paraId="529EE484">
      <w:pPr>
        <w:spacing w:line="359" w:lineRule="auto"/>
        <w:ind w:right="86"/>
        <w:jc w:val="center"/>
        <w:rPr>
          <w:b/>
          <w:bCs/>
          <w:sz w:val="40"/>
          <w:szCs w:val="40"/>
          <w:lang w:val="ru-RU"/>
        </w:rPr>
      </w:pPr>
      <w:r>
        <w:rPr>
          <w:b/>
          <w:bCs/>
          <w:sz w:val="44"/>
          <w:szCs w:val="44"/>
          <w:lang w:val="ru-RU"/>
        </w:rPr>
        <w:t xml:space="preserve"> </w:t>
      </w:r>
      <w:r>
        <w:rPr>
          <w:b/>
          <w:bCs/>
          <w:sz w:val="40"/>
          <w:szCs w:val="40"/>
          <w:lang w:val="ru-RU"/>
        </w:rPr>
        <w:t xml:space="preserve">ВАЛУЙСКОГО МУНИЦИПАЛЬНОГО ОКРУГА </w:t>
      </w:r>
    </w:p>
    <w:p w14:paraId="02A25112">
      <w:pPr>
        <w:spacing w:line="359" w:lineRule="auto"/>
        <w:ind w:right="86"/>
        <w:jc w:val="center"/>
        <w:rPr>
          <w:b/>
          <w:bCs/>
          <w:sz w:val="40"/>
          <w:szCs w:val="40"/>
          <w:lang w:val="ru-RU"/>
        </w:rPr>
      </w:pPr>
      <w:r>
        <w:rPr>
          <w:b/>
          <w:bCs/>
          <w:sz w:val="40"/>
          <w:szCs w:val="40"/>
          <w:lang w:val="ru-RU"/>
        </w:rPr>
        <w:t>БЕЛГОРОДСКОЙ ОБЛАСТИ</w:t>
      </w:r>
    </w:p>
    <w:p w14:paraId="0E631BEB">
      <w:pPr>
        <w:autoSpaceDE/>
        <w:autoSpaceDN/>
        <w:spacing w:before="5" w:line="361" w:lineRule="auto"/>
        <w:ind w:right="84"/>
        <w:jc w:val="center"/>
        <w:rPr>
          <w:b/>
          <w:bCs/>
          <w:sz w:val="28"/>
          <w:szCs w:val="28"/>
          <w:lang w:val="ru-RU"/>
        </w:rPr>
      </w:pPr>
    </w:p>
    <w:p w14:paraId="42970D68">
      <w:pPr>
        <w:ind w:left="150"/>
        <w:jc w:val="center"/>
        <w:rPr>
          <w:b/>
          <w:sz w:val="24"/>
          <w:lang w:val="ru-RU"/>
        </w:rPr>
      </w:pPr>
      <w:r>
        <w:rPr>
          <w:b/>
          <w:sz w:val="24"/>
          <w:lang w:val="ru-RU"/>
        </w:rPr>
        <w:t>Том 2</w:t>
      </w:r>
    </w:p>
    <w:p w14:paraId="3418036D">
      <w:pPr>
        <w:autoSpaceDE/>
        <w:autoSpaceDN/>
        <w:spacing w:before="6" w:line="280" w:lineRule="exact"/>
        <w:jc w:val="center"/>
        <w:rPr>
          <w:rFonts w:asciiTheme="minorHAnsi" w:hAnsiTheme="minorHAnsi" w:eastAsiaTheme="minorHAnsi" w:cstheme="minorBidi"/>
          <w:sz w:val="28"/>
          <w:szCs w:val="28"/>
          <w:lang w:val="ru-RU"/>
        </w:rPr>
      </w:pPr>
    </w:p>
    <w:p w14:paraId="203876BB">
      <w:pPr>
        <w:autoSpaceDE/>
        <w:autoSpaceDN/>
        <w:spacing w:line="359" w:lineRule="auto"/>
        <w:ind w:right="86"/>
        <w:jc w:val="center"/>
        <w:rPr>
          <w:sz w:val="28"/>
          <w:szCs w:val="28"/>
          <w:lang w:val="ru-RU"/>
        </w:rPr>
      </w:pPr>
      <w:r>
        <w:rPr>
          <w:b/>
          <w:bCs/>
          <w:sz w:val="28"/>
          <w:szCs w:val="28"/>
          <w:lang w:val="ru-RU"/>
        </w:rPr>
        <w:t>МАТЕРИАЛЫ ПО ОБОСНОВАНИЮ ГЕНЕРАЛЬНОГО ПЛАНА</w:t>
      </w:r>
    </w:p>
    <w:p w14:paraId="75AF921C">
      <w:pPr>
        <w:ind w:left="147"/>
        <w:jc w:val="center"/>
        <w:rPr>
          <w:b/>
          <w:sz w:val="24"/>
          <w:lang w:val="ru-RU"/>
        </w:rPr>
      </w:pPr>
      <w:r>
        <w:rPr>
          <w:b/>
          <w:sz w:val="24"/>
          <w:lang w:val="ru-RU"/>
        </w:rPr>
        <w:t>«Текстовые материалы»</w:t>
      </w:r>
    </w:p>
    <w:p w14:paraId="100873D9">
      <w:pPr>
        <w:autoSpaceDE/>
        <w:autoSpaceDN/>
        <w:spacing w:line="200" w:lineRule="exact"/>
        <w:jc w:val="center"/>
        <w:rPr>
          <w:rFonts w:asciiTheme="minorHAnsi" w:hAnsiTheme="minorHAnsi" w:eastAsiaTheme="minorHAnsi" w:cstheme="minorBidi"/>
          <w:sz w:val="20"/>
          <w:szCs w:val="20"/>
          <w:lang w:val="ru-RU"/>
        </w:rPr>
      </w:pPr>
    </w:p>
    <w:p w14:paraId="7BD134EA">
      <w:pPr>
        <w:autoSpaceDE/>
        <w:autoSpaceDN/>
        <w:spacing w:line="200" w:lineRule="exact"/>
        <w:jc w:val="center"/>
        <w:rPr>
          <w:rFonts w:asciiTheme="minorHAnsi" w:hAnsiTheme="minorHAnsi" w:eastAsiaTheme="minorHAnsi" w:cstheme="minorBidi"/>
          <w:sz w:val="20"/>
          <w:szCs w:val="20"/>
          <w:lang w:val="ru-RU"/>
        </w:rPr>
      </w:pPr>
    </w:p>
    <w:p w14:paraId="501E6536">
      <w:pPr>
        <w:autoSpaceDE/>
        <w:autoSpaceDN/>
        <w:spacing w:line="200" w:lineRule="exact"/>
        <w:jc w:val="center"/>
        <w:rPr>
          <w:rFonts w:asciiTheme="minorHAnsi" w:hAnsiTheme="minorHAnsi" w:eastAsiaTheme="minorHAnsi" w:cstheme="minorBidi"/>
          <w:sz w:val="20"/>
          <w:szCs w:val="20"/>
          <w:lang w:val="ru-RU"/>
        </w:rPr>
      </w:pPr>
    </w:p>
    <w:p w14:paraId="6991C2D2">
      <w:pPr>
        <w:autoSpaceDE/>
        <w:autoSpaceDN/>
        <w:spacing w:line="200" w:lineRule="exact"/>
        <w:jc w:val="center"/>
        <w:rPr>
          <w:rFonts w:asciiTheme="minorHAnsi" w:hAnsiTheme="minorHAnsi" w:eastAsiaTheme="minorHAnsi" w:cstheme="minorBidi"/>
          <w:sz w:val="20"/>
          <w:szCs w:val="20"/>
          <w:lang w:val="ru-RU"/>
        </w:rPr>
      </w:pPr>
    </w:p>
    <w:p w14:paraId="33AF7ED1">
      <w:pPr>
        <w:autoSpaceDE/>
        <w:autoSpaceDN/>
        <w:spacing w:line="200" w:lineRule="exact"/>
        <w:jc w:val="center"/>
        <w:rPr>
          <w:rFonts w:asciiTheme="minorHAnsi" w:hAnsiTheme="minorHAnsi" w:eastAsiaTheme="minorHAnsi" w:cstheme="minorBidi"/>
          <w:sz w:val="20"/>
          <w:szCs w:val="20"/>
          <w:lang w:val="ru-RU"/>
        </w:rPr>
      </w:pPr>
    </w:p>
    <w:p w14:paraId="71682646">
      <w:pPr>
        <w:autoSpaceDE/>
        <w:autoSpaceDN/>
        <w:spacing w:line="200" w:lineRule="exact"/>
        <w:jc w:val="center"/>
        <w:rPr>
          <w:rFonts w:asciiTheme="minorHAnsi" w:hAnsiTheme="minorHAnsi" w:eastAsiaTheme="minorHAnsi" w:cstheme="minorBidi"/>
          <w:sz w:val="20"/>
          <w:szCs w:val="20"/>
          <w:lang w:val="ru-RU"/>
        </w:rPr>
      </w:pPr>
      <w:r>
        <w:rPr>
          <w:lang w:val="ru-RU" w:eastAsia="ru-RU"/>
        </w:rPr>
        <w:drawing>
          <wp:anchor distT="0" distB="0" distL="114300" distR="114300" simplePos="0" relativeHeight="251661312" behindDoc="0" locked="0" layoutInCell="1" allowOverlap="1">
            <wp:simplePos x="0" y="0"/>
            <wp:positionH relativeFrom="page">
              <wp:posOffset>2110740</wp:posOffset>
            </wp:positionH>
            <wp:positionV relativeFrom="paragraph">
              <wp:posOffset>12700</wp:posOffset>
            </wp:positionV>
            <wp:extent cx="2995295" cy="1609725"/>
            <wp:effectExtent l="0" t="0" r="0" b="9525"/>
            <wp:wrapNone/>
            <wp:docPr id="35" name="Рисунок 35" descr="E:\ООО АПБ (печати, подпись, реквизиты)\05-07-2024_12-23-07\Печать ООО АП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Рисунок 35" descr="E:\ООО АПБ (печати, подпись, реквизиты)\05-07-2024_12-23-07\Печать ООО АПБ.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2995295" cy="1609725"/>
                    </a:xfrm>
                    <a:prstGeom prst="rect">
                      <a:avLst/>
                    </a:prstGeom>
                    <a:noFill/>
                    <a:ln>
                      <a:noFill/>
                    </a:ln>
                  </pic:spPr>
                </pic:pic>
              </a:graphicData>
            </a:graphic>
          </wp:anchor>
        </w:drawing>
      </w:r>
    </w:p>
    <w:p w14:paraId="51B78430">
      <w:pPr>
        <w:adjustRightInd w:val="0"/>
        <w:spacing w:line="276" w:lineRule="auto"/>
        <w:ind w:right="-171"/>
        <w:rPr>
          <w:color w:val="FF0000"/>
          <w:lang w:val="ru-RU"/>
        </w:rPr>
      </w:pPr>
    </w:p>
    <w:p w14:paraId="0CF7211F">
      <w:pPr>
        <w:adjustRightInd w:val="0"/>
        <w:spacing w:line="276" w:lineRule="auto"/>
        <w:ind w:right="-171"/>
        <w:rPr>
          <w:color w:val="FF0000"/>
          <w:lang w:val="ru-RU"/>
        </w:rPr>
      </w:pPr>
    </w:p>
    <w:p w14:paraId="731E0269">
      <w:pPr>
        <w:tabs>
          <w:tab w:val="left" w:pos="535"/>
          <w:tab w:val="left" w:pos="6778"/>
        </w:tabs>
        <w:adjustRightInd w:val="0"/>
        <w:spacing w:line="276" w:lineRule="auto"/>
        <w:ind w:left="819"/>
        <w:rPr>
          <w:b/>
          <w:bCs/>
          <w:sz w:val="24"/>
          <w:szCs w:val="24"/>
          <w:lang w:val="ru-RU"/>
        </w:rPr>
      </w:pPr>
      <w:r>
        <w:rPr>
          <w:b/>
          <w:bCs/>
          <w:sz w:val="24"/>
          <w:szCs w:val="24"/>
          <w:lang w:val="ru-RU"/>
        </w:rPr>
        <w:t xml:space="preserve">Директор               _____________________________       </w:t>
      </w:r>
      <w:r>
        <w:rPr>
          <w:lang w:val="ru-RU"/>
        </w:rPr>
        <w:t xml:space="preserve"> </w:t>
      </w:r>
      <w:r>
        <w:rPr>
          <w:b/>
          <w:bCs/>
          <w:sz w:val="24"/>
          <w:szCs w:val="24"/>
          <w:lang w:val="ru-RU"/>
        </w:rPr>
        <w:t xml:space="preserve">Е.В. Безменова </w:t>
      </w:r>
    </w:p>
    <w:p w14:paraId="711E0876">
      <w:pPr>
        <w:tabs>
          <w:tab w:val="left" w:pos="535"/>
          <w:tab w:val="left" w:pos="6778"/>
        </w:tabs>
        <w:adjustRightInd w:val="0"/>
        <w:spacing w:line="276" w:lineRule="auto"/>
        <w:ind w:left="819"/>
        <w:rPr>
          <w:b/>
          <w:bCs/>
          <w:sz w:val="24"/>
          <w:szCs w:val="24"/>
          <w:lang w:val="ru-RU"/>
        </w:rPr>
      </w:pPr>
    </w:p>
    <w:p w14:paraId="7C70A025">
      <w:pPr>
        <w:tabs>
          <w:tab w:val="left" w:pos="6778"/>
        </w:tabs>
        <w:adjustRightInd w:val="0"/>
        <w:spacing w:line="276" w:lineRule="auto"/>
        <w:ind w:left="819" w:firstLine="32"/>
        <w:rPr>
          <w:b/>
          <w:bCs/>
          <w:sz w:val="24"/>
          <w:szCs w:val="24"/>
          <w:lang w:val="ru-RU"/>
        </w:rPr>
      </w:pPr>
      <w:r>
        <w:rPr>
          <w:b/>
          <w:bCs/>
          <w:sz w:val="24"/>
          <w:szCs w:val="24"/>
          <w:lang w:val="ru-RU"/>
        </w:rPr>
        <w:t>ГАП                        ___________________________             Н.А.Тимонов</w:t>
      </w:r>
    </w:p>
    <w:p w14:paraId="51089012">
      <w:pPr>
        <w:adjustRightInd w:val="0"/>
        <w:spacing w:line="276" w:lineRule="auto"/>
        <w:ind w:right="-171"/>
        <w:rPr>
          <w:color w:val="FF0000"/>
          <w:lang w:val="ru-RU"/>
        </w:rPr>
      </w:pPr>
    </w:p>
    <w:p w14:paraId="57539701">
      <w:pPr>
        <w:autoSpaceDE/>
        <w:autoSpaceDN/>
        <w:spacing w:line="200" w:lineRule="exact"/>
        <w:rPr>
          <w:rFonts w:asciiTheme="minorHAnsi" w:hAnsiTheme="minorHAnsi" w:eastAsiaTheme="minorHAnsi" w:cstheme="minorBidi"/>
          <w:sz w:val="20"/>
          <w:szCs w:val="20"/>
          <w:lang w:val="ru-RU"/>
        </w:rPr>
      </w:pPr>
    </w:p>
    <w:p w14:paraId="69E83D2B">
      <w:pPr>
        <w:autoSpaceDE/>
        <w:autoSpaceDN/>
        <w:spacing w:line="200" w:lineRule="exact"/>
        <w:jc w:val="center"/>
        <w:rPr>
          <w:rFonts w:asciiTheme="minorHAnsi" w:hAnsiTheme="minorHAnsi" w:eastAsiaTheme="minorHAnsi" w:cstheme="minorBidi"/>
          <w:sz w:val="20"/>
          <w:szCs w:val="20"/>
          <w:lang w:val="ru-RU"/>
        </w:rPr>
      </w:pPr>
    </w:p>
    <w:p w14:paraId="679EA857">
      <w:pPr>
        <w:autoSpaceDE/>
        <w:autoSpaceDN/>
        <w:spacing w:line="200" w:lineRule="exact"/>
        <w:jc w:val="center"/>
        <w:rPr>
          <w:rFonts w:asciiTheme="minorHAnsi" w:hAnsiTheme="minorHAnsi" w:eastAsiaTheme="minorHAnsi" w:cstheme="minorBidi"/>
          <w:sz w:val="20"/>
          <w:szCs w:val="20"/>
          <w:lang w:val="ru-RU"/>
        </w:rPr>
      </w:pPr>
    </w:p>
    <w:p w14:paraId="5884F86A">
      <w:pPr>
        <w:autoSpaceDE/>
        <w:autoSpaceDN/>
        <w:spacing w:line="200" w:lineRule="exact"/>
        <w:jc w:val="center"/>
        <w:rPr>
          <w:rFonts w:asciiTheme="minorHAnsi" w:hAnsiTheme="minorHAnsi" w:eastAsiaTheme="minorHAnsi" w:cstheme="minorBidi"/>
          <w:sz w:val="20"/>
          <w:szCs w:val="20"/>
          <w:lang w:val="ru-RU"/>
        </w:rPr>
      </w:pPr>
    </w:p>
    <w:p w14:paraId="64296025">
      <w:pPr>
        <w:autoSpaceDE/>
        <w:autoSpaceDN/>
        <w:spacing w:line="200" w:lineRule="exact"/>
        <w:jc w:val="center"/>
        <w:rPr>
          <w:rFonts w:asciiTheme="minorHAnsi" w:hAnsiTheme="minorHAnsi" w:eastAsiaTheme="minorHAnsi" w:cstheme="minorBidi"/>
          <w:sz w:val="20"/>
          <w:szCs w:val="20"/>
          <w:lang w:val="ru-RU"/>
        </w:rPr>
      </w:pPr>
    </w:p>
    <w:p w14:paraId="31259663">
      <w:pPr>
        <w:autoSpaceDE/>
        <w:autoSpaceDN/>
        <w:spacing w:line="200" w:lineRule="exact"/>
        <w:jc w:val="center"/>
        <w:rPr>
          <w:rFonts w:asciiTheme="minorHAnsi" w:hAnsiTheme="minorHAnsi" w:eastAsiaTheme="minorHAnsi" w:cstheme="minorBidi"/>
          <w:sz w:val="20"/>
          <w:szCs w:val="20"/>
          <w:lang w:val="ru-RU"/>
        </w:rPr>
      </w:pPr>
    </w:p>
    <w:p w14:paraId="56162A3F">
      <w:pPr>
        <w:autoSpaceDE/>
        <w:autoSpaceDN/>
        <w:spacing w:line="200" w:lineRule="exact"/>
        <w:jc w:val="center"/>
        <w:rPr>
          <w:rFonts w:asciiTheme="minorHAnsi" w:hAnsiTheme="minorHAnsi" w:eastAsiaTheme="minorHAnsi" w:cstheme="minorBidi"/>
          <w:sz w:val="20"/>
          <w:szCs w:val="20"/>
          <w:lang w:val="ru-RU"/>
        </w:rPr>
      </w:pPr>
    </w:p>
    <w:p w14:paraId="3FAAE60E">
      <w:pPr>
        <w:autoSpaceDE/>
        <w:autoSpaceDN/>
        <w:spacing w:line="200" w:lineRule="exact"/>
        <w:jc w:val="center"/>
        <w:rPr>
          <w:rFonts w:asciiTheme="minorHAnsi" w:hAnsiTheme="minorHAnsi" w:eastAsiaTheme="minorHAnsi" w:cstheme="minorBidi"/>
          <w:sz w:val="20"/>
          <w:szCs w:val="20"/>
          <w:lang w:val="ru-RU"/>
        </w:rPr>
      </w:pPr>
    </w:p>
    <w:p w14:paraId="16945F43">
      <w:pPr>
        <w:autoSpaceDE/>
        <w:autoSpaceDN/>
        <w:spacing w:line="200" w:lineRule="exact"/>
        <w:jc w:val="center"/>
        <w:rPr>
          <w:rFonts w:asciiTheme="minorHAnsi" w:hAnsiTheme="minorHAnsi" w:eastAsiaTheme="minorHAnsi" w:cstheme="minorBidi"/>
          <w:sz w:val="20"/>
          <w:szCs w:val="20"/>
          <w:lang w:val="ru-RU"/>
        </w:rPr>
      </w:pPr>
    </w:p>
    <w:p w14:paraId="29F80365">
      <w:pPr>
        <w:autoSpaceDE/>
        <w:autoSpaceDN/>
        <w:spacing w:line="200" w:lineRule="exact"/>
        <w:jc w:val="center"/>
        <w:rPr>
          <w:rFonts w:asciiTheme="minorHAnsi" w:hAnsiTheme="minorHAnsi" w:eastAsiaTheme="minorHAnsi" w:cstheme="minorBidi"/>
          <w:sz w:val="20"/>
          <w:szCs w:val="20"/>
          <w:lang w:val="ru-RU"/>
        </w:rPr>
      </w:pPr>
    </w:p>
    <w:p w14:paraId="1117C793">
      <w:pPr>
        <w:autoSpaceDE/>
        <w:autoSpaceDN/>
        <w:spacing w:line="200" w:lineRule="exact"/>
        <w:jc w:val="center"/>
        <w:rPr>
          <w:rFonts w:asciiTheme="minorHAnsi" w:hAnsiTheme="minorHAnsi" w:eastAsiaTheme="minorHAnsi" w:cstheme="minorBidi"/>
          <w:sz w:val="20"/>
          <w:szCs w:val="20"/>
          <w:lang w:val="ru-RU"/>
        </w:rPr>
      </w:pPr>
    </w:p>
    <w:p w14:paraId="75C7A4E4">
      <w:pPr>
        <w:autoSpaceDE/>
        <w:autoSpaceDN/>
        <w:spacing w:line="200" w:lineRule="exact"/>
        <w:jc w:val="center"/>
        <w:rPr>
          <w:rFonts w:asciiTheme="minorHAnsi" w:hAnsiTheme="minorHAnsi" w:eastAsiaTheme="minorHAnsi" w:cstheme="minorBidi"/>
          <w:sz w:val="20"/>
          <w:szCs w:val="20"/>
          <w:lang w:val="ru-RU"/>
        </w:rPr>
      </w:pPr>
    </w:p>
    <w:p w14:paraId="7509B68D">
      <w:pPr>
        <w:autoSpaceDE/>
        <w:autoSpaceDN/>
        <w:spacing w:line="200" w:lineRule="exact"/>
        <w:jc w:val="center"/>
        <w:rPr>
          <w:rFonts w:asciiTheme="minorHAnsi" w:hAnsiTheme="minorHAnsi" w:eastAsiaTheme="minorHAnsi" w:cstheme="minorBidi"/>
          <w:sz w:val="20"/>
          <w:szCs w:val="20"/>
          <w:lang w:val="ru-RU"/>
        </w:rPr>
      </w:pPr>
    </w:p>
    <w:p w14:paraId="455DB235">
      <w:pPr>
        <w:autoSpaceDE/>
        <w:autoSpaceDN/>
        <w:spacing w:line="200" w:lineRule="exact"/>
        <w:jc w:val="center"/>
        <w:rPr>
          <w:rFonts w:asciiTheme="minorHAnsi" w:hAnsiTheme="minorHAnsi" w:eastAsiaTheme="minorHAnsi" w:cstheme="minorBidi"/>
          <w:sz w:val="20"/>
          <w:szCs w:val="20"/>
          <w:lang w:val="ru-RU"/>
        </w:rPr>
      </w:pPr>
    </w:p>
    <w:p w14:paraId="1329B67F">
      <w:pPr>
        <w:autoSpaceDE/>
        <w:autoSpaceDN/>
        <w:spacing w:line="200" w:lineRule="exact"/>
        <w:jc w:val="center"/>
        <w:rPr>
          <w:rFonts w:asciiTheme="minorHAnsi" w:hAnsiTheme="minorHAnsi" w:eastAsiaTheme="minorHAnsi" w:cstheme="minorBidi"/>
          <w:sz w:val="20"/>
          <w:szCs w:val="20"/>
          <w:lang w:val="ru-RU"/>
        </w:rPr>
      </w:pPr>
    </w:p>
    <w:p w14:paraId="608CD8BB">
      <w:pPr>
        <w:autoSpaceDE/>
        <w:autoSpaceDN/>
        <w:spacing w:line="200" w:lineRule="exact"/>
        <w:jc w:val="center"/>
        <w:rPr>
          <w:rFonts w:asciiTheme="minorHAnsi" w:hAnsiTheme="minorHAnsi" w:eastAsiaTheme="minorHAnsi" w:cstheme="minorBidi"/>
          <w:sz w:val="20"/>
          <w:szCs w:val="20"/>
          <w:lang w:val="ru-RU"/>
        </w:rPr>
      </w:pPr>
    </w:p>
    <w:p w14:paraId="019596C6">
      <w:pPr>
        <w:autoSpaceDE/>
        <w:autoSpaceDN/>
        <w:spacing w:line="200" w:lineRule="exact"/>
        <w:jc w:val="center"/>
        <w:rPr>
          <w:rFonts w:asciiTheme="minorHAnsi" w:hAnsiTheme="minorHAnsi" w:eastAsiaTheme="minorHAnsi" w:cstheme="minorBidi"/>
          <w:sz w:val="20"/>
          <w:szCs w:val="20"/>
          <w:lang w:val="ru-RU"/>
        </w:rPr>
      </w:pPr>
    </w:p>
    <w:p w14:paraId="2EC893E0">
      <w:pPr>
        <w:autoSpaceDE/>
        <w:autoSpaceDN/>
        <w:spacing w:line="200" w:lineRule="exact"/>
        <w:jc w:val="center"/>
        <w:rPr>
          <w:rFonts w:asciiTheme="minorHAnsi" w:hAnsiTheme="minorHAnsi" w:eastAsiaTheme="minorHAnsi" w:cstheme="minorBidi"/>
          <w:sz w:val="20"/>
          <w:szCs w:val="20"/>
          <w:lang w:val="ru-RU"/>
        </w:rPr>
      </w:pPr>
    </w:p>
    <w:p w14:paraId="2BBF2FC0">
      <w:pPr>
        <w:autoSpaceDE/>
        <w:autoSpaceDN/>
        <w:spacing w:line="200" w:lineRule="exact"/>
        <w:jc w:val="center"/>
        <w:rPr>
          <w:rFonts w:asciiTheme="minorHAnsi" w:hAnsiTheme="minorHAnsi" w:eastAsiaTheme="minorHAnsi" w:cstheme="minorBidi"/>
          <w:sz w:val="20"/>
          <w:szCs w:val="20"/>
          <w:lang w:val="ru-RU"/>
        </w:rPr>
      </w:pPr>
    </w:p>
    <w:p w14:paraId="3640CC4B">
      <w:pPr>
        <w:autoSpaceDE/>
        <w:autoSpaceDN/>
        <w:spacing w:line="200" w:lineRule="exact"/>
        <w:jc w:val="center"/>
        <w:rPr>
          <w:rFonts w:asciiTheme="minorHAnsi" w:hAnsiTheme="minorHAnsi" w:eastAsiaTheme="minorHAnsi" w:cstheme="minorBidi"/>
          <w:sz w:val="20"/>
          <w:szCs w:val="20"/>
          <w:lang w:val="ru-RU"/>
        </w:rPr>
      </w:pPr>
    </w:p>
    <w:p w14:paraId="2A4031C1">
      <w:pPr>
        <w:autoSpaceDE/>
        <w:autoSpaceDN/>
        <w:ind w:right="89"/>
        <w:jc w:val="center"/>
        <w:rPr>
          <w:sz w:val="26"/>
          <w:szCs w:val="26"/>
          <w:lang w:val="ru-RU"/>
        </w:rPr>
      </w:pPr>
      <w:r>
        <w:rPr>
          <w:sz w:val="26"/>
          <w:szCs w:val="26"/>
          <w:lang w:val="ru-RU"/>
        </w:rPr>
        <w:t>Белгород</w:t>
      </w:r>
      <w:r>
        <w:rPr>
          <w:spacing w:val="-6"/>
          <w:sz w:val="26"/>
          <w:szCs w:val="26"/>
          <w:lang w:val="ru-RU"/>
        </w:rPr>
        <w:t xml:space="preserve"> - </w:t>
      </w:r>
      <w:r>
        <w:rPr>
          <w:sz w:val="26"/>
          <w:szCs w:val="26"/>
          <w:lang w:val="ru-RU"/>
        </w:rPr>
        <w:t>2025</w:t>
      </w:r>
      <w:r>
        <w:rPr>
          <w:spacing w:val="-4"/>
          <w:sz w:val="26"/>
          <w:szCs w:val="26"/>
          <w:lang w:val="ru-RU"/>
        </w:rPr>
        <w:t xml:space="preserve"> </w:t>
      </w:r>
      <w:r>
        <w:rPr>
          <w:w w:val="99"/>
          <w:sz w:val="26"/>
          <w:szCs w:val="26"/>
          <w:lang w:val="ru-RU"/>
        </w:rPr>
        <w:t>г.</w:t>
      </w:r>
    </w:p>
    <w:p w14:paraId="79921B90">
      <w:pPr>
        <w:autoSpaceDE/>
        <w:autoSpaceDN/>
        <w:spacing w:line="276" w:lineRule="auto"/>
        <w:jc w:val="center"/>
        <w:rPr>
          <w:rFonts w:asciiTheme="minorHAnsi" w:hAnsiTheme="minorHAnsi" w:eastAsiaTheme="minorHAnsi" w:cstheme="minorBidi"/>
          <w:lang w:val="ru-RU"/>
        </w:rPr>
        <w:sectPr>
          <w:type w:val="continuous"/>
          <w:pgSz w:w="11920" w:h="16840"/>
          <w:pgMar w:top="440" w:right="721" w:bottom="280" w:left="1418" w:header="720" w:footer="720" w:gutter="0"/>
          <w:cols w:space="720" w:num="1"/>
        </w:sectPr>
      </w:pPr>
    </w:p>
    <w:p w14:paraId="6F558B4F">
      <w:pPr>
        <w:rPr>
          <w:lang w:val="ru-RU"/>
        </w:rPr>
      </w:pPr>
    </w:p>
    <w:p w14:paraId="436D9358">
      <w:pPr>
        <w:rPr>
          <w:lang w:val="ru-RU"/>
        </w:rPr>
      </w:pPr>
    </w:p>
    <w:p w14:paraId="202B32C6">
      <w:pPr>
        <w:rPr>
          <w:lang w:val="ru-RU"/>
        </w:rPr>
      </w:pPr>
      <w:r>
        <w:rPr>
          <w:lang w:val="ru-RU" w:eastAsia="ru-RU"/>
        </w:rPr>
        <mc:AlternateContent>
          <mc:Choice Requires="wpg">
            <w:drawing>
              <wp:anchor distT="0" distB="0" distL="114300" distR="114300" simplePos="0" relativeHeight="251660288" behindDoc="1" locked="0" layoutInCell="1" allowOverlap="1">
                <wp:simplePos x="0" y="0"/>
                <wp:positionH relativeFrom="column">
                  <wp:posOffset>-432435</wp:posOffset>
                </wp:positionH>
                <wp:positionV relativeFrom="paragraph">
                  <wp:posOffset>58420</wp:posOffset>
                </wp:positionV>
                <wp:extent cx="6897370" cy="9982200"/>
                <wp:effectExtent l="0" t="0" r="17780" b="19050"/>
                <wp:wrapNone/>
                <wp:docPr id="5" name="Группа 1"/>
                <wp:cNvGraphicFramePr/>
                <a:graphic xmlns:a="http://schemas.openxmlformats.org/drawingml/2006/main">
                  <a:graphicData uri="http://schemas.microsoft.com/office/word/2010/wordprocessingGroup">
                    <wpg:wgp>
                      <wpg:cNvGrpSpPr/>
                      <wpg:grpSpPr>
                        <a:xfrm>
                          <a:off x="0" y="0"/>
                          <a:ext cx="6897370" cy="9982200"/>
                          <a:chOff x="879" y="496"/>
                          <a:chExt cx="10743" cy="15420"/>
                        </a:xfrm>
                      </wpg:grpSpPr>
                      <wps:wsp>
                        <wps:cNvPr id="6" name="Rectangle 4"/>
                        <wps:cNvSpPr>
                          <a:spLocks noChangeArrowheads="1"/>
                        </wps:cNvSpPr>
                        <wps:spPr bwMode="auto">
                          <a:xfrm>
                            <a:off x="879" y="496"/>
                            <a:ext cx="10743" cy="15420"/>
                          </a:xfrm>
                          <a:prstGeom prst="rect">
                            <a:avLst/>
                          </a:prstGeom>
                          <a:noFill/>
                          <a:ln w="6350">
                            <a:solidFill>
                              <a:srgbClr val="800000"/>
                            </a:solidFill>
                            <a:miter lim="800000"/>
                          </a:ln>
                        </wps:spPr>
                        <wps:bodyPr rot="0" vert="horz" wrap="square" lIns="91440" tIns="45720" rIns="91440" bIns="45720" anchor="t" anchorCtr="0" upright="1">
                          <a:noAutofit/>
                        </wps:bodyPr>
                      </wps:wsp>
                      <wps:wsp>
                        <wps:cNvPr id="7" name="Rectangle 5"/>
                        <wps:cNvSpPr>
                          <a:spLocks noChangeArrowheads="1"/>
                        </wps:cNvSpPr>
                        <wps:spPr bwMode="auto">
                          <a:xfrm>
                            <a:off x="970" y="594"/>
                            <a:ext cx="10560" cy="15240"/>
                          </a:xfrm>
                          <a:prstGeom prst="rect">
                            <a:avLst/>
                          </a:prstGeom>
                          <a:noFill/>
                          <a:ln w="19050">
                            <a:solidFill>
                              <a:srgbClr val="800000"/>
                            </a:solidFill>
                            <a:miter lim="800000"/>
                          </a:ln>
                        </wps:spPr>
                        <wps:bodyPr rot="0" vert="horz" wrap="square" lIns="91440" tIns="45720" rIns="91440" bIns="45720" anchor="t" anchorCtr="0" upright="1">
                          <a:noAutofit/>
                        </wps:bodyPr>
                      </wps:wsp>
                    </wpg:wgp>
                  </a:graphicData>
                </a:graphic>
              </wp:anchor>
            </w:drawing>
          </mc:Choice>
          <mc:Fallback>
            <w:pict>
              <v:group id="Группа 1" o:spid="_x0000_s1026" o:spt="203" style="position:absolute;left:0pt;margin-left:-34.05pt;margin-top:4.6pt;height:786pt;width:543.1pt;z-index:-251656192;mso-width-relative:page;mso-height-relative:page;" coordorigin="879,496" coordsize="10743,15420" o:gfxdata="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">
                <o:lock v:ext="edit" aspectratio="f"/>
                <v:rect id="Rectangle 4" o:spid="_x0000_s1026" o:spt="1" style="position:absolute;left:879;top:496;height:15420;width:10743;" filled="f" stroked="t" coordsize="21600,21600" o:gfxdata="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2RVeiugAAANoA&#10;AAAPAAAAAAAAAAEAIAAAACIAAABkcnMvZG93bnJldi54bWxQSwECFAAUAAAACACHTuJAMy8FnjsA&#10;AAA5AAAAEAAAAAAAAAABACAAAAAJAQAAZHJzL3NoYXBleG1sLnhtbFBLBQYAAAAABgAGAFsBAACz&#10;AwAAAAA=&#10;">
                  <v:fill on="f" focussize="0,0"/>
                  <v:stroke weight="0.5pt" color="#800000" miterlimit="8" joinstyle="miter"/>
                  <v:imagedata o:title=""/>
                  <o:lock v:ext="edit" aspectratio="f"/>
                </v:rect>
                <v:rect id="Rectangle 5" o:spid="_x0000_s1026" o:spt="1" style="position:absolute;left:970;top:594;height:15240;width:10560;" filled="f" stroked="t" coordsize="21600,21600" o:gfxdata="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jXtatb4A&#10;AADaAAAADwAAAAAAAAABACAAAAAiAAAAZHJzL2Rvd25yZXYueG1sUEsBAhQAFAAAAAgAh07iQDMv&#10;BZ47AAAAOQAAABAAAAAAAAAAAQAgAAAADQEAAGRycy9zaGFwZXhtbC54bWxQSwUGAAAAAAYABgBb&#10;AQAAtwMAAAAA&#10;">
                  <v:fill on="f" focussize="0,0"/>
                  <v:stroke weight="1.5pt" color="#800000" miterlimit="8" joinstyle="miter"/>
                  <v:imagedata o:title=""/>
                  <o:lock v:ext="edit" aspectratio="f"/>
                </v:rect>
              </v:group>
            </w:pict>
          </mc:Fallback>
        </mc:AlternateContent>
      </w:r>
    </w:p>
    <w:p w14:paraId="62335917">
      <w:pPr>
        <w:rPr>
          <w:lang w:val="ru-RU"/>
        </w:rPr>
      </w:pPr>
    </w:p>
    <w:p w14:paraId="1CB80C98">
      <w:pPr>
        <w:pStyle w:val="30"/>
        <w:jc w:val="center"/>
        <w:rPr>
          <w:lang w:val="ru-RU"/>
        </w:rPr>
      </w:pPr>
    </w:p>
    <w:p w14:paraId="703C1BFB">
      <w:pPr>
        <w:pStyle w:val="30"/>
        <w:jc w:val="center"/>
        <w:rPr>
          <w:lang w:val="ru-RU"/>
        </w:rPr>
      </w:pPr>
      <w:r>
        <w:rPr>
          <w:lang w:val="ru-RU"/>
        </w:rPr>
        <w:t>Общество с ограниченной ответственностью</w:t>
      </w:r>
    </w:p>
    <w:p w14:paraId="24CB9C8C">
      <w:pPr>
        <w:pStyle w:val="30"/>
        <w:jc w:val="center"/>
        <w:rPr>
          <w:sz w:val="32"/>
          <w:szCs w:val="32"/>
          <w:lang w:val="ru-RU"/>
        </w:rPr>
      </w:pPr>
      <w:r>
        <w:rPr>
          <w:sz w:val="32"/>
          <w:szCs w:val="32"/>
          <w:lang w:val="ru-RU"/>
        </w:rPr>
        <w:t>«Архитектурно-планировочное бюро»</w:t>
      </w:r>
    </w:p>
    <w:p w14:paraId="656B97F9">
      <w:pPr>
        <w:pBdr>
          <w:top w:val="single" w:color="auto" w:sz="12" w:space="0"/>
          <w:bottom w:val="single" w:color="auto" w:sz="12" w:space="0"/>
        </w:pBdr>
        <w:jc w:val="center"/>
        <w:rPr>
          <w:b/>
          <w:sz w:val="20"/>
          <w:lang w:val="ru-RU"/>
        </w:rPr>
      </w:pPr>
      <w:r>
        <w:rPr>
          <w:b/>
          <w:sz w:val="20"/>
          <w:lang w:val="ru-RU"/>
        </w:rPr>
        <w:t>308009, г. Белгород, ул. Князя Трубецкого, д. 40, оф.10, (4722)273451 ИНН 3100032530</w:t>
      </w:r>
    </w:p>
    <w:p w14:paraId="321533B5">
      <w:pPr>
        <w:rPr>
          <w:lang w:val="ru-RU"/>
        </w:rPr>
      </w:pPr>
      <w:r>
        <w:rPr>
          <w:lang w:val="ru-RU"/>
        </w:rPr>
        <w:t xml:space="preserve">          </w:t>
      </w: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ab/>
      </w:r>
      <w:r>
        <w:rPr>
          <w:lang w:val="ru-RU"/>
        </w:rPr>
        <w:t xml:space="preserve">            </w:t>
      </w:r>
    </w:p>
    <w:p w14:paraId="5C8A6779">
      <w:pPr>
        <w:jc w:val="center"/>
        <w:rPr>
          <w:lang w:val="ru-RU"/>
        </w:rPr>
      </w:pPr>
    </w:p>
    <w:p w14:paraId="536FCFE8">
      <w:pPr>
        <w:jc w:val="center"/>
        <w:rPr>
          <w:lang w:val="ru-RU"/>
        </w:rPr>
      </w:pPr>
    </w:p>
    <w:p w14:paraId="02F9C823">
      <w:pPr>
        <w:jc w:val="center"/>
        <w:rPr>
          <w:bCs/>
          <w:sz w:val="32"/>
          <w:szCs w:val="32"/>
          <w:lang w:val="ru-RU"/>
        </w:rPr>
      </w:pPr>
    </w:p>
    <w:p w14:paraId="2651B6FD">
      <w:pPr>
        <w:jc w:val="center"/>
        <w:rPr>
          <w:bCs/>
          <w:sz w:val="32"/>
          <w:szCs w:val="32"/>
          <w:lang w:val="ru-RU"/>
        </w:rPr>
      </w:pPr>
    </w:p>
    <w:p w14:paraId="40CC409B">
      <w:pPr>
        <w:jc w:val="center"/>
        <w:rPr>
          <w:bCs/>
          <w:sz w:val="32"/>
          <w:szCs w:val="32"/>
          <w:lang w:val="ru-RU"/>
        </w:rPr>
      </w:pPr>
    </w:p>
    <w:p w14:paraId="28DE20D7">
      <w:pPr>
        <w:jc w:val="center"/>
        <w:rPr>
          <w:bCs/>
          <w:sz w:val="32"/>
          <w:szCs w:val="32"/>
          <w:lang w:val="ru-RU"/>
        </w:rPr>
      </w:pPr>
    </w:p>
    <w:p w14:paraId="4D4BA1F5">
      <w:pPr>
        <w:jc w:val="center"/>
        <w:rPr>
          <w:bCs/>
          <w:sz w:val="32"/>
          <w:szCs w:val="32"/>
          <w:lang w:val="ru-RU"/>
        </w:rPr>
      </w:pPr>
    </w:p>
    <w:p w14:paraId="271852E0">
      <w:pPr>
        <w:spacing w:line="359" w:lineRule="auto"/>
        <w:ind w:right="86"/>
        <w:jc w:val="center"/>
        <w:rPr>
          <w:b/>
          <w:bCs/>
          <w:sz w:val="32"/>
          <w:szCs w:val="32"/>
          <w:lang w:val="ru-RU"/>
        </w:rPr>
      </w:pPr>
      <w:r>
        <w:rPr>
          <w:b/>
          <w:bCs/>
          <w:sz w:val="32"/>
          <w:szCs w:val="32"/>
          <w:lang w:val="ru-RU"/>
        </w:rPr>
        <w:t>ГЕНЕРАЛЬНЫЙ ПЛАН С. СУХАРЕВО</w:t>
      </w:r>
    </w:p>
    <w:p w14:paraId="7258AEA6">
      <w:pPr>
        <w:spacing w:line="359" w:lineRule="auto"/>
        <w:ind w:right="86"/>
        <w:jc w:val="center"/>
        <w:rPr>
          <w:b/>
          <w:bCs/>
          <w:sz w:val="32"/>
          <w:szCs w:val="32"/>
          <w:lang w:val="ru-RU"/>
        </w:rPr>
      </w:pPr>
      <w:r>
        <w:rPr>
          <w:b/>
          <w:bCs/>
          <w:sz w:val="32"/>
          <w:szCs w:val="32"/>
          <w:lang w:val="ru-RU"/>
        </w:rPr>
        <w:t xml:space="preserve"> ВАЛУЙСКОГО МУНИЦИПАЛЬНОГО ОКРУГА </w:t>
      </w:r>
    </w:p>
    <w:p w14:paraId="0000EDBB">
      <w:pPr>
        <w:spacing w:line="359" w:lineRule="auto"/>
        <w:ind w:right="86"/>
        <w:jc w:val="center"/>
        <w:rPr>
          <w:b/>
          <w:bCs/>
          <w:sz w:val="32"/>
          <w:szCs w:val="32"/>
          <w:lang w:val="ru-RU"/>
        </w:rPr>
      </w:pPr>
      <w:r>
        <w:rPr>
          <w:b/>
          <w:bCs/>
          <w:sz w:val="32"/>
          <w:szCs w:val="32"/>
          <w:lang w:val="ru-RU"/>
        </w:rPr>
        <w:t>БЕЛГОРОДСКОЙ ОБЛАСТИ</w:t>
      </w:r>
    </w:p>
    <w:p w14:paraId="1A68CBF1">
      <w:pPr>
        <w:jc w:val="center"/>
        <w:rPr>
          <w:bCs/>
          <w:sz w:val="32"/>
          <w:szCs w:val="32"/>
          <w:lang w:val="ru-RU"/>
        </w:rPr>
      </w:pPr>
    </w:p>
    <w:p w14:paraId="0804B15B">
      <w:pPr>
        <w:jc w:val="center"/>
        <w:rPr>
          <w:bCs/>
          <w:sz w:val="32"/>
          <w:szCs w:val="32"/>
          <w:lang w:val="ru-RU"/>
        </w:rPr>
      </w:pPr>
    </w:p>
    <w:p w14:paraId="7CD10576">
      <w:pPr>
        <w:spacing w:line="359" w:lineRule="auto"/>
        <w:ind w:right="86"/>
        <w:jc w:val="center"/>
        <w:rPr>
          <w:b/>
          <w:bCs/>
          <w:sz w:val="32"/>
          <w:szCs w:val="32"/>
          <w:lang w:val="ru-RU"/>
        </w:rPr>
      </w:pPr>
    </w:p>
    <w:p w14:paraId="2F222F8E">
      <w:pPr>
        <w:jc w:val="center"/>
        <w:rPr>
          <w:bCs/>
          <w:sz w:val="36"/>
          <w:szCs w:val="36"/>
          <w:lang w:val="ru-RU"/>
        </w:rPr>
      </w:pPr>
    </w:p>
    <w:p w14:paraId="6891A247">
      <w:pPr>
        <w:jc w:val="center"/>
        <w:rPr>
          <w:bCs/>
          <w:sz w:val="36"/>
          <w:lang w:val="ru-RU"/>
        </w:rPr>
      </w:pPr>
    </w:p>
    <w:p w14:paraId="6C0C7DCC">
      <w:pPr>
        <w:autoSpaceDE/>
        <w:autoSpaceDN/>
        <w:spacing w:line="359" w:lineRule="auto"/>
        <w:ind w:right="86"/>
        <w:jc w:val="center"/>
        <w:rPr>
          <w:sz w:val="28"/>
          <w:szCs w:val="28"/>
          <w:lang w:val="ru-RU"/>
        </w:rPr>
      </w:pPr>
      <w:r>
        <w:rPr>
          <w:b/>
          <w:bCs/>
          <w:sz w:val="28"/>
          <w:szCs w:val="28"/>
          <w:lang w:val="ru-RU"/>
        </w:rPr>
        <w:t>МАТЕРИАЛЫ ПО ОБОСНОВАНИЮ ГЕНЕРАЛЬНОГО ПЛАНА</w:t>
      </w:r>
    </w:p>
    <w:p w14:paraId="4B8557C4">
      <w:pPr>
        <w:autoSpaceDE/>
        <w:autoSpaceDN/>
        <w:spacing w:before="8" w:line="170" w:lineRule="exact"/>
        <w:jc w:val="center"/>
        <w:rPr>
          <w:rFonts w:asciiTheme="minorHAnsi" w:hAnsiTheme="minorHAnsi" w:eastAsiaTheme="minorHAnsi" w:cstheme="minorBidi"/>
          <w:sz w:val="17"/>
          <w:szCs w:val="17"/>
          <w:lang w:val="ru-RU"/>
        </w:rPr>
      </w:pPr>
    </w:p>
    <w:p w14:paraId="7BA97877">
      <w:pPr>
        <w:jc w:val="center"/>
        <w:rPr>
          <w:sz w:val="36"/>
          <w:szCs w:val="36"/>
          <w:lang w:val="ru-RU"/>
        </w:rPr>
      </w:pPr>
    </w:p>
    <w:p w14:paraId="048AC212">
      <w:pPr>
        <w:jc w:val="center"/>
        <w:rPr>
          <w:sz w:val="36"/>
          <w:szCs w:val="36"/>
          <w:lang w:val="ru-RU"/>
        </w:rPr>
      </w:pPr>
    </w:p>
    <w:p w14:paraId="39B34687">
      <w:pPr>
        <w:jc w:val="center"/>
        <w:rPr>
          <w:bCs/>
          <w:sz w:val="32"/>
          <w:szCs w:val="32"/>
          <w:lang w:val="ru-RU"/>
        </w:rPr>
      </w:pPr>
    </w:p>
    <w:p w14:paraId="5D2985F1">
      <w:pPr>
        <w:jc w:val="center"/>
        <w:rPr>
          <w:bCs/>
          <w:sz w:val="32"/>
          <w:szCs w:val="32"/>
          <w:lang w:val="ru-RU"/>
        </w:rPr>
      </w:pPr>
    </w:p>
    <w:p w14:paraId="694D4139">
      <w:pPr>
        <w:jc w:val="center"/>
        <w:rPr>
          <w:bCs/>
          <w:sz w:val="32"/>
          <w:szCs w:val="32"/>
          <w:lang w:val="ru-RU"/>
        </w:rPr>
      </w:pPr>
    </w:p>
    <w:p w14:paraId="67C61C88">
      <w:pPr>
        <w:jc w:val="center"/>
        <w:rPr>
          <w:bCs/>
          <w:sz w:val="32"/>
          <w:szCs w:val="32"/>
          <w:lang w:val="ru-RU"/>
        </w:rPr>
      </w:pPr>
    </w:p>
    <w:p w14:paraId="3176C2C7">
      <w:pPr>
        <w:jc w:val="center"/>
        <w:rPr>
          <w:sz w:val="32"/>
          <w:szCs w:val="32"/>
          <w:lang w:val="ru-RU"/>
        </w:rPr>
      </w:pPr>
    </w:p>
    <w:p w14:paraId="1A773AFC">
      <w:pPr>
        <w:jc w:val="center"/>
        <w:rPr>
          <w:sz w:val="32"/>
          <w:szCs w:val="32"/>
          <w:lang w:val="ru-RU"/>
        </w:rPr>
      </w:pPr>
    </w:p>
    <w:p w14:paraId="56DA5B37">
      <w:pPr>
        <w:jc w:val="center"/>
        <w:rPr>
          <w:sz w:val="32"/>
          <w:szCs w:val="32"/>
          <w:lang w:val="ru-RU"/>
        </w:rPr>
      </w:pPr>
    </w:p>
    <w:p w14:paraId="273F0988">
      <w:pPr>
        <w:jc w:val="center"/>
        <w:rPr>
          <w:sz w:val="32"/>
          <w:szCs w:val="32"/>
          <w:lang w:val="ru-RU"/>
        </w:rPr>
      </w:pPr>
    </w:p>
    <w:p w14:paraId="77AFE66D">
      <w:pPr>
        <w:jc w:val="center"/>
        <w:rPr>
          <w:sz w:val="32"/>
          <w:szCs w:val="32"/>
          <w:lang w:val="ru-RU"/>
        </w:rPr>
      </w:pPr>
    </w:p>
    <w:p w14:paraId="50F443A8">
      <w:pPr>
        <w:jc w:val="center"/>
        <w:rPr>
          <w:sz w:val="32"/>
          <w:szCs w:val="32"/>
          <w:lang w:val="ru-RU"/>
        </w:rPr>
      </w:pPr>
    </w:p>
    <w:p w14:paraId="672A54E0">
      <w:pPr>
        <w:jc w:val="center"/>
        <w:rPr>
          <w:sz w:val="32"/>
          <w:szCs w:val="32"/>
          <w:lang w:val="ru-RU"/>
        </w:rPr>
      </w:pPr>
    </w:p>
    <w:p w14:paraId="5775F965">
      <w:pPr>
        <w:jc w:val="center"/>
        <w:rPr>
          <w:sz w:val="32"/>
          <w:szCs w:val="32"/>
          <w:lang w:val="ru-RU"/>
        </w:rPr>
      </w:pPr>
    </w:p>
    <w:p w14:paraId="0B8981E4">
      <w:pPr>
        <w:jc w:val="center"/>
        <w:rPr>
          <w:lang w:val="ru-RU"/>
        </w:rPr>
      </w:pPr>
    </w:p>
    <w:p w14:paraId="5EDFD04F">
      <w:pPr>
        <w:jc w:val="center"/>
        <w:rPr>
          <w:lang w:val="ru-RU"/>
        </w:rPr>
      </w:pPr>
    </w:p>
    <w:p w14:paraId="01F45186">
      <w:pPr>
        <w:autoSpaceDE/>
        <w:autoSpaceDN/>
        <w:spacing w:line="276" w:lineRule="auto"/>
        <w:rPr>
          <w:rFonts w:asciiTheme="minorHAnsi" w:hAnsiTheme="minorHAnsi" w:eastAsiaTheme="minorHAnsi" w:cstheme="minorBidi"/>
          <w:lang w:val="ru-RU"/>
        </w:rPr>
        <w:sectPr>
          <w:type w:val="continuous"/>
          <w:pgSz w:w="11920" w:h="16840"/>
          <w:pgMar w:top="440" w:right="721" w:bottom="280" w:left="1418" w:header="720" w:footer="720" w:gutter="0"/>
          <w:cols w:space="720" w:num="1"/>
        </w:sectPr>
      </w:pPr>
    </w:p>
    <w:p w14:paraId="34BCE499">
      <w:pPr>
        <w:rPr>
          <w:lang w:val="ru-RU"/>
        </w:rPr>
        <w:sectPr>
          <w:footerReference r:id="rId3" w:type="default"/>
          <w:type w:val="continuous"/>
          <w:pgSz w:w="11920" w:h="16840"/>
          <w:pgMar w:top="1420" w:right="840" w:bottom="280" w:left="1680" w:header="720" w:footer="720" w:gutter="0"/>
          <w:cols w:equalWidth="0" w:num="2">
            <w:col w:w="2439" w:space="1319"/>
            <w:col w:w="5642"/>
          </w:cols>
        </w:sectPr>
      </w:pPr>
    </w:p>
    <w:p w14:paraId="3B795797">
      <w:pPr>
        <w:spacing w:before="71"/>
        <w:jc w:val="center"/>
        <w:rPr>
          <w:b/>
          <w:i/>
          <w:sz w:val="28"/>
          <w:lang w:val="ru-RU"/>
        </w:rPr>
      </w:pPr>
      <w:r>
        <w:rPr>
          <w:b/>
          <w:i/>
          <w:sz w:val="28"/>
          <w:lang w:val="ru-RU"/>
        </w:rPr>
        <w:t>Состав проектных материалов:</w:t>
      </w:r>
    </w:p>
    <w:p w14:paraId="7CFD26A5">
      <w:pPr>
        <w:spacing w:before="71"/>
        <w:jc w:val="center"/>
        <w:rPr>
          <w:b/>
          <w:i/>
          <w:sz w:val="28"/>
          <w:lang w:val="ru-RU"/>
        </w:rPr>
      </w:pPr>
    </w:p>
    <w:tbl>
      <w:tblPr>
        <w:tblStyle w:val="11"/>
        <w:tblW w:w="9506" w:type="dxa"/>
        <w:tblInd w:w="10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001"/>
        <w:gridCol w:w="8505"/>
      </w:tblGrid>
      <w:tr w14:paraId="5BF5C3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960" w:hRule="atLeast"/>
        </w:trPr>
        <w:tc>
          <w:tcPr>
            <w:tcW w:w="1001" w:type="dxa"/>
            <w:shd w:val="clear" w:color="auto" w:fill="E4E4E4"/>
          </w:tcPr>
          <w:p w14:paraId="7BD8499D">
            <w:pPr>
              <w:pStyle w:val="51"/>
              <w:spacing w:line="315" w:lineRule="exact"/>
              <w:rPr>
                <w:sz w:val="28"/>
                <w:lang w:val="ru-RU"/>
              </w:rPr>
            </w:pPr>
          </w:p>
          <w:p w14:paraId="225C8FCB">
            <w:pPr>
              <w:pStyle w:val="51"/>
              <w:spacing w:line="315" w:lineRule="exact"/>
              <w:rPr>
                <w:sz w:val="28"/>
                <w:lang w:val="ru-RU"/>
              </w:rPr>
            </w:pPr>
            <w:r>
              <w:rPr>
                <w:sz w:val="28"/>
                <w:lang w:val="ru-RU"/>
              </w:rPr>
              <w:t>№ п/п</w:t>
            </w:r>
          </w:p>
        </w:tc>
        <w:tc>
          <w:tcPr>
            <w:tcW w:w="8505" w:type="dxa"/>
            <w:shd w:val="clear" w:color="auto" w:fill="E4E4E4"/>
          </w:tcPr>
          <w:p w14:paraId="6C03017C">
            <w:pPr>
              <w:pStyle w:val="51"/>
              <w:spacing w:before="235"/>
              <w:ind w:right="3282"/>
              <w:jc w:val="center"/>
              <w:rPr>
                <w:sz w:val="28"/>
                <w:lang w:val="ru-RU"/>
              </w:rPr>
            </w:pPr>
            <w:r>
              <w:rPr>
                <w:sz w:val="28"/>
                <w:lang w:val="ru-RU"/>
              </w:rPr>
              <w:t xml:space="preserve">                           Наименование</w:t>
            </w:r>
          </w:p>
        </w:tc>
      </w:tr>
      <w:tr w14:paraId="202E8C1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39" w:hRule="atLeast"/>
        </w:trPr>
        <w:tc>
          <w:tcPr>
            <w:tcW w:w="9506" w:type="dxa"/>
            <w:gridSpan w:val="2"/>
          </w:tcPr>
          <w:p w14:paraId="449137B7">
            <w:pPr>
              <w:jc w:val="center"/>
              <w:rPr>
                <w:b/>
                <w:sz w:val="28"/>
                <w:szCs w:val="28"/>
                <w:lang w:val="ru-RU"/>
              </w:rPr>
            </w:pPr>
            <w:r>
              <w:rPr>
                <w:b/>
                <w:sz w:val="28"/>
                <w:szCs w:val="28"/>
                <w:lang w:val="ru-RU"/>
              </w:rPr>
              <w:t>Генеральный план с. Сухарево</w:t>
            </w:r>
          </w:p>
          <w:p w14:paraId="777A5EE9">
            <w:pPr>
              <w:jc w:val="center"/>
              <w:rPr>
                <w:sz w:val="28"/>
                <w:lang w:val="ru-RU"/>
              </w:rPr>
            </w:pPr>
            <w:r>
              <w:rPr>
                <w:b/>
                <w:sz w:val="28"/>
                <w:szCs w:val="28"/>
                <w:lang w:val="ru-RU"/>
              </w:rPr>
              <w:t xml:space="preserve">Валуйского муниципального округа </w:t>
            </w:r>
            <w:r>
              <w:rPr>
                <w:sz w:val="28"/>
                <w:lang w:val="ru-RU"/>
              </w:rPr>
              <w:t xml:space="preserve"> </w:t>
            </w:r>
          </w:p>
        </w:tc>
      </w:tr>
      <w:tr w14:paraId="698D50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0" w:hRule="atLeast"/>
        </w:trPr>
        <w:tc>
          <w:tcPr>
            <w:tcW w:w="9506" w:type="dxa"/>
            <w:gridSpan w:val="2"/>
          </w:tcPr>
          <w:p w14:paraId="306C8AC1">
            <w:pPr>
              <w:pStyle w:val="51"/>
              <w:spacing w:before="2"/>
              <w:ind w:left="2298" w:right="2298"/>
              <w:jc w:val="center"/>
              <w:rPr>
                <w:b/>
                <w:i/>
                <w:sz w:val="28"/>
                <w:lang w:val="ru-RU"/>
              </w:rPr>
            </w:pPr>
            <w:r>
              <w:rPr>
                <w:b/>
                <w:i/>
                <w:sz w:val="28"/>
                <w:lang w:val="ru-RU"/>
              </w:rPr>
              <w:t>Текстовые материалы</w:t>
            </w:r>
          </w:p>
        </w:tc>
      </w:tr>
      <w:tr w14:paraId="665D7D9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0" w:hRule="atLeast"/>
        </w:trPr>
        <w:tc>
          <w:tcPr>
            <w:tcW w:w="1001" w:type="dxa"/>
          </w:tcPr>
          <w:p w14:paraId="3DDE1796">
            <w:pPr>
              <w:pStyle w:val="51"/>
              <w:spacing w:line="315" w:lineRule="exact"/>
              <w:rPr>
                <w:b/>
                <w:sz w:val="28"/>
                <w:lang w:val="ru-RU"/>
              </w:rPr>
            </w:pPr>
            <w:r>
              <w:rPr>
                <w:b/>
                <w:sz w:val="28"/>
                <w:lang w:val="ru-RU"/>
              </w:rPr>
              <w:t>Том 1</w:t>
            </w:r>
          </w:p>
        </w:tc>
        <w:tc>
          <w:tcPr>
            <w:tcW w:w="8505" w:type="dxa"/>
          </w:tcPr>
          <w:p w14:paraId="15F83682">
            <w:pPr>
              <w:pStyle w:val="51"/>
              <w:tabs>
                <w:tab w:val="left" w:pos="1772"/>
                <w:tab w:val="left" w:pos="2118"/>
                <w:tab w:val="left" w:pos="2369"/>
                <w:tab w:val="left" w:pos="3540"/>
                <w:tab w:val="left" w:pos="4278"/>
                <w:tab w:val="left" w:pos="5023"/>
                <w:tab w:val="left" w:pos="5521"/>
                <w:tab w:val="left" w:pos="7277"/>
                <w:tab w:val="left" w:pos="7416"/>
              </w:tabs>
              <w:spacing w:line="315" w:lineRule="exact"/>
              <w:ind w:left="103" w:right="244"/>
              <w:rPr>
                <w:sz w:val="28"/>
                <w:lang w:val="ru-RU"/>
              </w:rPr>
            </w:pPr>
            <w:r>
              <w:rPr>
                <w:sz w:val="28"/>
                <w:lang w:val="ru-RU"/>
              </w:rPr>
              <w:t>Положение о территориальном планировании</w:t>
            </w:r>
          </w:p>
        </w:tc>
      </w:tr>
      <w:tr w14:paraId="39D5C7F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0" w:hRule="atLeast"/>
        </w:trPr>
        <w:tc>
          <w:tcPr>
            <w:tcW w:w="9506" w:type="dxa"/>
            <w:gridSpan w:val="2"/>
          </w:tcPr>
          <w:p w14:paraId="25612471">
            <w:pPr>
              <w:pStyle w:val="51"/>
              <w:ind w:left="2530"/>
              <w:rPr>
                <w:b/>
                <w:i/>
                <w:sz w:val="28"/>
                <w:lang w:val="ru-RU"/>
              </w:rPr>
            </w:pPr>
            <w:r>
              <w:rPr>
                <w:b/>
                <w:i/>
                <w:sz w:val="28"/>
                <w:lang w:val="ru-RU"/>
              </w:rPr>
              <w:t>Альбом 1. Графические материалы</w:t>
            </w:r>
          </w:p>
        </w:tc>
      </w:tr>
      <w:tr w14:paraId="4643BA8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20" w:hRule="atLeast"/>
        </w:trPr>
        <w:tc>
          <w:tcPr>
            <w:tcW w:w="1001" w:type="dxa"/>
          </w:tcPr>
          <w:p w14:paraId="76B855A5">
            <w:pPr>
              <w:pStyle w:val="51"/>
              <w:spacing w:line="315" w:lineRule="exact"/>
              <w:ind w:right="98"/>
              <w:jc w:val="center"/>
              <w:rPr>
                <w:sz w:val="28"/>
                <w:lang w:val="ru-RU"/>
              </w:rPr>
            </w:pPr>
            <w:r>
              <w:rPr>
                <w:sz w:val="28"/>
                <w:lang w:val="ru-RU"/>
              </w:rPr>
              <w:t>1.1</w:t>
            </w:r>
          </w:p>
        </w:tc>
        <w:tc>
          <w:tcPr>
            <w:tcW w:w="8505" w:type="dxa"/>
          </w:tcPr>
          <w:p w14:paraId="36E9576F">
            <w:pPr>
              <w:pStyle w:val="51"/>
              <w:tabs>
                <w:tab w:val="left" w:pos="1014"/>
                <w:tab w:val="left" w:pos="1772"/>
                <w:tab w:val="left" w:pos="2118"/>
                <w:tab w:val="left" w:pos="2369"/>
                <w:tab w:val="left" w:pos="2913"/>
                <w:tab w:val="left" w:pos="3540"/>
                <w:tab w:val="left" w:pos="4278"/>
                <w:tab w:val="left" w:pos="4568"/>
                <w:tab w:val="left" w:pos="5023"/>
                <w:tab w:val="left" w:pos="5521"/>
                <w:tab w:val="left" w:pos="5863"/>
                <w:tab w:val="left" w:pos="7168"/>
                <w:tab w:val="left" w:pos="7277"/>
                <w:tab w:val="left" w:pos="7416"/>
              </w:tabs>
              <w:spacing w:line="315" w:lineRule="exact"/>
              <w:ind w:left="103" w:right="244"/>
              <w:rPr>
                <w:sz w:val="28"/>
                <w:lang w:val="ru-RU"/>
              </w:rPr>
            </w:pPr>
            <w:r>
              <w:rPr>
                <w:sz w:val="28"/>
                <w:lang w:val="ru-RU"/>
              </w:rPr>
              <w:t>Карта планируемого размещения объектов местного значения</w:t>
            </w:r>
          </w:p>
          <w:p w14:paraId="02EAC0D5">
            <w:pPr>
              <w:pStyle w:val="51"/>
              <w:tabs>
                <w:tab w:val="left" w:pos="1772"/>
                <w:tab w:val="left" w:pos="2118"/>
                <w:tab w:val="left" w:pos="2369"/>
                <w:tab w:val="left" w:pos="3540"/>
                <w:tab w:val="left" w:pos="4278"/>
                <w:tab w:val="left" w:pos="5023"/>
                <w:tab w:val="left" w:pos="5521"/>
                <w:tab w:val="left" w:pos="7277"/>
                <w:tab w:val="left" w:pos="7416"/>
              </w:tabs>
              <w:spacing w:line="315" w:lineRule="exact"/>
              <w:ind w:left="103" w:right="244"/>
              <w:rPr>
                <w:sz w:val="28"/>
                <w:lang w:val="ru-RU"/>
              </w:rPr>
            </w:pPr>
            <w:r>
              <w:rPr>
                <w:sz w:val="28"/>
                <w:lang w:val="ru-RU"/>
              </w:rPr>
              <w:t>М 1:5000</w:t>
            </w:r>
          </w:p>
        </w:tc>
      </w:tr>
      <w:tr w14:paraId="2BF4E10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20" w:hRule="atLeast"/>
        </w:trPr>
        <w:tc>
          <w:tcPr>
            <w:tcW w:w="1001" w:type="dxa"/>
          </w:tcPr>
          <w:p w14:paraId="7814A994">
            <w:pPr>
              <w:pStyle w:val="51"/>
              <w:spacing w:line="315" w:lineRule="exact"/>
              <w:ind w:right="98"/>
              <w:jc w:val="center"/>
              <w:rPr>
                <w:sz w:val="28"/>
                <w:lang w:val="ru-RU"/>
              </w:rPr>
            </w:pPr>
            <w:r>
              <w:rPr>
                <w:sz w:val="28"/>
                <w:lang w:val="ru-RU"/>
              </w:rPr>
              <w:t>1.2</w:t>
            </w:r>
          </w:p>
        </w:tc>
        <w:tc>
          <w:tcPr>
            <w:tcW w:w="8505" w:type="dxa"/>
          </w:tcPr>
          <w:p w14:paraId="31FDCB07">
            <w:pPr>
              <w:pStyle w:val="51"/>
              <w:tabs>
                <w:tab w:val="left" w:pos="1014"/>
                <w:tab w:val="left" w:pos="1772"/>
                <w:tab w:val="left" w:pos="2118"/>
                <w:tab w:val="left" w:pos="2369"/>
                <w:tab w:val="left" w:pos="2913"/>
                <w:tab w:val="left" w:pos="3540"/>
                <w:tab w:val="left" w:pos="4278"/>
                <w:tab w:val="left" w:pos="4568"/>
                <w:tab w:val="left" w:pos="5023"/>
                <w:tab w:val="left" w:pos="5521"/>
                <w:tab w:val="left" w:pos="5863"/>
                <w:tab w:val="left" w:pos="7168"/>
                <w:tab w:val="left" w:pos="7277"/>
                <w:tab w:val="left" w:pos="7416"/>
              </w:tabs>
              <w:spacing w:line="315" w:lineRule="exact"/>
              <w:ind w:left="103" w:right="244"/>
              <w:rPr>
                <w:sz w:val="28"/>
                <w:lang w:val="ru-RU"/>
              </w:rPr>
            </w:pPr>
            <w:r>
              <w:rPr>
                <w:sz w:val="28"/>
                <w:lang w:val="ru-RU"/>
              </w:rPr>
              <w:t>Карта границ населенных пунктов (в том числе границ образуемых населенных пунктов)    М 1:5000</w:t>
            </w:r>
          </w:p>
        </w:tc>
      </w:tr>
      <w:tr w14:paraId="4132AD4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0" w:hRule="atLeast"/>
        </w:trPr>
        <w:tc>
          <w:tcPr>
            <w:tcW w:w="1001" w:type="dxa"/>
          </w:tcPr>
          <w:p w14:paraId="32CF5EFF">
            <w:pPr>
              <w:pStyle w:val="51"/>
              <w:spacing w:line="315" w:lineRule="exact"/>
              <w:ind w:right="98"/>
              <w:jc w:val="center"/>
              <w:rPr>
                <w:sz w:val="28"/>
                <w:lang w:val="ru-RU"/>
              </w:rPr>
            </w:pPr>
            <w:r>
              <w:rPr>
                <w:sz w:val="28"/>
                <w:lang w:val="ru-RU"/>
              </w:rPr>
              <w:t>1.3</w:t>
            </w:r>
          </w:p>
        </w:tc>
        <w:tc>
          <w:tcPr>
            <w:tcW w:w="8505" w:type="dxa"/>
          </w:tcPr>
          <w:p w14:paraId="2AF815AA">
            <w:pPr>
              <w:pStyle w:val="51"/>
              <w:tabs>
                <w:tab w:val="left" w:pos="1772"/>
                <w:tab w:val="left" w:pos="2118"/>
                <w:tab w:val="left" w:pos="2369"/>
                <w:tab w:val="left" w:pos="3540"/>
                <w:tab w:val="left" w:pos="4278"/>
                <w:tab w:val="left" w:pos="5023"/>
                <w:tab w:val="left" w:pos="5521"/>
                <w:tab w:val="left" w:pos="7277"/>
                <w:tab w:val="left" w:pos="7416"/>
              </w:tabs>
              <w:spacing w:line="315" w:lineRule="exact"/>
              <w:ind w:left="103" w:right="244"/>
              <w:rPr>
                <w:sz w:val="28"/>
                <w:lang w:val="ru-RU"/>
              </w:rPr>
            </w:pPr>
            <w:r>
              <w:rPr>
                <w:sz w:val="28"/>
                <w:lang w:val="ru-RU"/>
              </w:rPr>
              <w:t>Карта функциональных зон   М 1:5000</w:t>
            </w:r>
          </w:p>
        </w:tc>
      </w:tr>
      <w:tr w14:paraId="0F2ACB9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795" w:hRule="atLeast"/>
        </w:trPr>
        <w:tc>
          <w:tcPr>
            <w:tcW w:w="9506" w:type="dxa"/>
            <w:gridSpan w:val="2"/>
          </w:tcPr>
          <w:p w14:paraId="5F46284A">
            <w:pPr>
              <w:jc w:val="center"/>
              <w:rPr>
                <w:b/>
                <w:sz w:val="28"/>
                <w:szCs w:val="28"/>
                <w:lang w:val="ru-RU"/>
              </w:rPr>
            </w:pPr>
            <w:r>
              <w:rPr>
                <w:b/>
                <w:sz w:val="28"/>
                <w:szCs w:val="28"/>
                <w:lang w:val="ru-RU"/>
              </w:rPr>
              <w:t xml:space="preserve">Материалы по обоснованию проекта генерального плана </w:t>
            </w:r>
          </w:p>
          <w:p w14:paraId="02FFE3B5">
            <w:pPr>
              <w:pStyle w:val="51"/>
              <w:spacing w:line="276" w:lineRule="auto"/>
              <w:ind w:left="422" w:right="342" w:firstLine="707"/>
              <w:jc w:val="center"/>
              <w:rPr>
                <w:b/>
                <w:sz w:val="28"/>
                <w:lang w:val="ru-RU"/>
              </w:rPr>
            </w:pPr>
            <w:r>
              <w:rPr>
                <w:b/>
                <w:sz w:val="28"/>
                <w:szCs w:val="28"/>
                <w:lang w:val="ru-RU"/>
              </w:rPr>
              <w:t>с. Сухарево Валуйского муниципального округа</w:t>
            </w:r>
          </w:p>
        </w:tc>
      </w:tr>
      <w:tr w14:paraId="5E480B6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0" w:hRule="atLeast"/>
        </w:trPr>
        <w:tc>
          <w:tcPr>
            <w:tcW w:w="9506" w:type="dxa"/>
            <w:gridSpan w:val="2"/>
          </w:tcPr>
          <w:p w14:paraId="53350855">
            <w:pPr>
              <w:pStyle w:val="51"/>
              <w:ind w:left="2298" w:right="2298"/>
              <w:jc w:val="center"/>
              <w:rPr>
                <w:b/>
                <w:i/>
                <w:sz w:val="28"/>
              </w:rPr>
            </w:pPr>
            <w:r>
              <w:rPr>
                <w:b/>
                <w:i/>
                <w:sz w:val="28"/>
              </w:rPr>
              <w:t>Текстовые материалы</w:t>
            </w:r>
          </w:p>
        </w:tc>
      </w:tr>
      <w:tr w14:paraId="012433F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831" w:hRule="atLeast"/>
        </w:trPr>
        <w:tc>
          <w:tcPr>
            <w:tcW w:w="1001" w:type="dxa"/>
          </w:tcPr>
          <w:p w14:paraId="7D41F076">
            <w:pPr>
              <w:pStyle w:val="51"/>
              <w:spacing w:line="315" w:lineRule="exact"/>
              <w:ind w:left="103"/>
              <w:rPr>
                <w:sz w:val="28"/>
                <w:lang w:val="ru-RU"/>
              </w:rPr>
            </w:pPr>
          </w:p>
          <w:p w14:paraId="2D7973A0">
            <w:pPr>
              <w:pStyle w:val="51"/>
              <w:spacing w:line="315" w:lineRule="exact"/>
              <w:rPr>
                <w:b/>
                <w:sz w:val="28"/>
                <w:lang w:val="ru-RU"/>
              </w:rPr>
            </w:pPr>
            <w:r>
              <w:rPr>
                <w:b/>
                <w:sz w:val="28"/>
                <w:lang w:val="ru-RU"/>
              </w:rPr>
              <w:t>Том 2</w:t>
            </w:r>
          </w:p>
        </w:tc>
        <w:tc>
          <w:tcPr>
            <w:tcW w:w="8505" w:type="dxa"/>
          </w:tcPr>
          <w:p w14:paraId="594EC2F5">
            <w:pPr>
              <w:pStyle w:val="51"/>
              <w:tabs>
                <w:tab w:val="left" w:pos="1772"/>
                <w:tab w:val="left" w:pos="2118"/>
                <w:tab w:val="left" w:pos="2369"/>
                <w:tab w:val="left" w:pos="3540"/>
                <w:tab w:val="left" w:pos="4278"/>
                <w:tab w:val="left" w:pos="5023"/>
                <w:tab w:val="left" w:pos="5521"/>
                <w:tab w:val="left" w:pos="7277"/>
                <w:tab w:val="left" w:pos="7416"/>
              </w:tabs>
              <w:spacing w:line="315" w:lineRule="exact"/>
              <w:ind w:left="103" w:right="244"/>
              <w:rPr>
                <w:sz w:val="28"/>
                <w:lang w:val="ru-RU"/>
              </w:rPr>
            </w:pPr>
            <w:r>
              <w:rPr>
                <w:sz w:val="28"/>
                <w:lang w:val="ru-RU"/>
              </w:rPr>
              <w:t>Материалы по обоснованию проекта генерального плана Валуйского муниципального округа</w:t>
            </w:r>
          </w:p>
        </w:tc>
      </w:tr>
      <w:tr w14:paraId="76CF534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0" w:hRule="atLeast"/>
        </w:trPr>
        <w:tc>
          <w:tcPr>
            <w:tcW w:w="9506" w:type="dxa"/>
            <w:gridSpan w:val="2"/>
          </w:tcPr>
          <w:p w14:paraId="31272437">
            <w:pPr>
              <w:pStyle w:val="51"/>
              <w:spacing w:before="2"/>
              <w:ind w:left="2530"/>
              <w:rPr>
                <w:b/>
                <w:i/>
                <w:sz w:val="28"/>
                <w:lang w:val="ru-RU"/>
              </w:rPr>
            </w:pPr>
            <w:r>
              <w:rPr>
                <w:b/>
                <w:i/>
                <w:sz w:val="28"/>
                <w:lang w:val="ru-RU"/>
              </w:rPr>
              <w:t>Альбом 2. Графические материалы</w:t>
            </w:r>
          </w:p>
        </w:tc>
      </w:tr>
      <w:tr w14:paraId="0040FBD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682" w:hRule="atLeast"/>
        </w:trPr>
        <w:tc>
          <w:tcPr>
            <w:tcW w:w="1001" w:type="dxa"/>
          </w:tcPr>
          <w:p w14:paraId="4EEE3E86">
            <w:pPr>
              <w:pStyle w:val="51"/>
              <w:spacing w:line="315" w:lineRule="exact"/>
              <w:ind w:right="98"/>
              <w:jc w:val="center"/>
              <w:rPr>
                <w:sz w:val="28"/>
                <w:lang w:val="ru-RU"/>
              </w:rPr>
            </w:pPr>
            <w:r>
              <w:rPr>
                <w:sz w:val="28"/>
                <w:lang w:val="ru-RU"/>
              </w:rPr>
              <w:t>2.1</w:t>
            </w:r>
          </w:p>
        </w:tc>
        <w:tc>
          <w:tcPr>
            <w:tcW w:w="8505" w:type="dxa"/>
          </w:tcPr>
          <w:p w14:paraId="20C8D525">
            <w:pPr>
              <w:pStyle w:val="51"/>
              <w:tabs>
                <w:tab w:val="left" w:pos="1014"/>
                <w:tab w:val="left" w:pos="1772"/>
                <w:tab w:val="left" w:pos="2118"/>
                <w:tab w:val="left" w:pos="2369"/>
                <w:tab w:val="left" w:pos="2913"/>
                <w:tab w:val="left" w:pos="3540"/>
                <w:tab w:val="left" w:pos="4278"/>
                <w:tab w:val="left" w:pos="4568"/>
                <w:tab w:val="left" w:pos="5023"/>
                <w:tab w:val="left" w:pos="5521"/>
                <w:tab w:val="left" w:pos="5863"/>
                <w:tab w:val="left" w:pos="7168"/>
                <w:tab w:val="left" w:pos="7277"/>
                <w:tab w:val="left" w:pos="7416"/>
              </w:tabs>
              <w:spacing w:line="315" w:lineRule="exact"/>
              <w:ind w:left="103" w:right="244"/>
              <w:rPr>
                <w:sz w:val="28"/>
                <w:lang w:val="ru-RU"/>
              </w:rPr>
            </w:pPr>
            <w:r>
              <w:rPr>
                <w:sz w:val="28"/>
                <w:lang w:val="ru-RU"/>
              </w:rPr>
              <w:t>Карта существующих и строящихся объектов местного значения, зон с особыми условиями использования территорий, участков лесного фонда, городских лесов и границы лесничеств М 1:5 000</w:t>
            </w:r>
          </w:p>
        </w:tc>
      </w:tr>
    </w:tbl>
    <w:p w14:paraId="2575F29F">
      <w:pPr>
        <w:spacing w:before="65"/>
        <w:ind w:right="4192"/>
        <w:jc w:val="center"/>
        <w:rPr>
          <w:b/>
          <w:sz w:val="28"/>
          <w:lang w:val="ru-RU"/>
        </w:rPr>
      </w:pPr>
    </w:p>
    <w:p w14:paraId="1E0E4A78">
      <w:pPr>
        <w:spacing w:before="65"/>
        <w:ind w:right="4192"/>
        <w:jc w:val="center"/>
        <w:rPr>
          <w:b/>
          <w:sz w:val="28"/>
          <w:lang w:val="ru-RU"/>
        </w:rPr>
      </w:pPr>
    </w:p>
    <w:p w14:paraId="7BE06557">
      <w:pPr>
        <w:spacing w:before="65"/>
        <w:ind w:right="4192"/>
        <w:jc w:val="center"/>
        <w:rPr>
          <w:b/>
          <w:sz w:val="28"/>
          <w:lang w:val="ru-RU"/>
        </w:rPr>
      </w:pPr>
    </w:p>
    <w:p w14:paraId="6A9115B7">
      <w:pPr>
        <w:spacing w:before="65"/>
        <w:ind w:right="4192"/>
        <w:jc w:val="center"/>
        <w:rPr>
          <w:b/>
          <w:sz w:val="28"/>
          <w:lang w:val="ru-RU"/>
        </w:rPr>
      </w:pPr>
    </w:p>
    <w:p w14:paraId="05F5D6CE">
      <w:pPr>
        <w:spacing w:before="65"/>
        <w:ind w:right="4192"/>
        <w:jc w:val="center"/>
        <w:rPr>
          <w:b/>
          <w:sz w:val="28"/>
          <w:lang w:val="ru-RU"/>
        </w:rPr>
      </w:pPr>
    </w:p>
    <w:p w14:paraId="42261997">
      <w:pPr>
        <w:spacing w:before="65"/>
        <w:ind w:right="4192"/>
        <w:jc w:val="center"/>
        <w:rPr>
          <w:b/>
          <w:sz w:val="28"/>
          <w:lang w:val="ru-RU"/>
        </w:rPr>
      </w:pPr>
    </w:p>
    <w:p w14:paraId="6D81EEAF">
      <w:pPr>
        <w:spacing w:before="65"/>
        <w:ind w:right="4192"/>
        <w:jc w:val="center"/>
        <w:rPr>
          <w:b/>
          <w:sz w:val="28"/>
          <w:lang w:val="ru-RU"/>
        </w:rPr>
      </w:pPr>
    </w:p>
    <w:p w14:paraId="69115556">
      <w:pPr>
        <w:spacing w:before="65"/>
        <w:ind w:right="4192"/>
        <w:jc w:val="center"/>
        <w:rPr>
          <w:b/>
          <w:sz w:val="28"/>
          <w:lang w:val="ru-RU"/>
        </w:rPr>
      </w:pPr>
    </w:p>
    <w:p w14:paraId="0663BFA3">
      <w:pPr>
        <w:spacing w:before="65"/>
        <w:ind w:right="4192"/>
        <w:jc w:val="center"/>
        <w:rPr>
          <w:b/>
          <w:sz w:val="28"/>
          <w:lang w:val="ru-RU"/>
        </w:rPr>
      </w:pPr>
    </w:p>
    <w:p w14:paraId="3D7BBEEC">
      <w:pPr>
        <w:spacing w:before="65"/>
        <w:ind w:right="4192"/>
        <w:jc w:val="center"/>
        <w:rPr>
          <w:b/>
          <w:sz w:val="28"/>
          <w:lang w:val="ru-RU"/>
        </w:rPr>
      </w:pPr>
    </w:p>
    <w:p w14:paraId="79B0F057">
      <w:pPr>
        <w:spacing w:before="65"/>
        <w:ind w:right="4192"/>
        <w:jc w:val="center"/>
        <w:rPr>
          <w:b/>
          <w:sz w:val="28"/>
          <w:lang w:val="ru-RU"/>
        </w:rPr>
      </w:pPr>
    </w:p>
    <w:p w14:paraId="31A0B702">
      <w:pPr>
        <w:spacing w:before="65"/>
        <w:ind w:right="4192"/>
        <w:jc w:val="center"/>
        <w:rPr>
          <w:b/>
          <w:sz w:val="28"/>
          <w:lang w:val="ru-RU"/>
        </w:rPr>
      </w:pPr>
    </w:p>
    <w:p w14:paraId="5A49404C">
      <w:pPr>
        <w:spacing w:before="65"/>
        <w:ind w:right="4192"/>
        <w:jc w:val="center"/>
        <w:rPr>
          <w:b/>
          <w:sz w:val="28"/>
          <w:lang w:val="ru-RU"/>
        </w:rPr>
      </w:pPr>
    </w:p>
    <w:p w14:paraId="141A3B68">
      <w:pPr>
        <w:spacing w:before="65"/>
        <w:ind w:right="4192"/>
        <w:jc w:val="center"/>
        <w:rPr>
          <w:b/>
          <w:sz w:val="28"/>
          <w:lang w:val="ru-RU"/>
        </w:rPr>
      </w:pPr>
    </w:p>
    <w:p w14:paraId="2BBFF61B">
      <w:pPr>
        <w:pStyle w:val="2"/>
        <w:tabs>
          <w:tab w:val="left" w:pos="966"/>
        </w:tabs>
        <w:ind w:left="850" w:right="114"/>
        <w:jc w:val="both"/>
        <w:rPr>
          <w:lang w:val="ru-RU"/>
        </w:rPr>
      </w:pPr>
      <w:bookmarkStart w:id="0" w:name="_Toc198723405"/>
      <w:r>
        <w:rPr>
          <w:lang w:val="ru-RU"/>
        </w:rPr>
        <w:t>Содержание</w:t>
      </w:r>
      <w:bookmarkEnd w:id="0"/>
    </w:p>
    <w:sdt>
      <w:sdtPr>
        <w:rPr>
          <w:sz w:val="22"/>
          <w:szCs w:val="22"/>
        </w:rPr>
        <w:id w:val="-1064945517"/>
        <w:docPartObj>
          <w:docPartGallery w:val="Table of Contents"/>
          <w:docPartUnique/>
        </w:docPartObj>
      </w:sdtPr>
      <w:sdtEndPr>
        <w:rPr>
          <w:sz w:val="22"/>
          <w:szCs w:val="22"/>
        </w:rPr>
      </w:sdtEndPr>
      <w:sdtContent>
        <w:p w14:paraId="635B5696">
          <w:pPr>
            <w:pStyle w:val="31"/>
            <w:tabs>
              <w:tab w:val="right" w:leader="dot" w:pos="9610"/>
            </w:tabs>
            <w:rPr>
              <w:rFonts w:asciiTheme="minorHAnsi" w:hAnsiTheme="minorHAnsi" w:eastAsiaTheme="minorEastAsia" w:cstheme="minorBidi"/>
              <w:sz w:val="22"/>
              <w:szCs w:val="22"/>
              <w:lang w:val="ru-RU" w:eastAsia="ru-RU"/>
            </w:rPr>
          </w:pPr>
          <w:r>
            <w:fldChar w:fldCharType="begin"/>
          </w:r>
          <w:r>
            <w:instrText xml:space="preserve">TOC \o "1-1" \h \z \u </w:instrText>
          </w:r>
          <w:r>
            <w:fldChar w:fldCharType="separate"/>
          </w:r>
          <w:r>
            <w:fldChar w:fldCharType="begin"/>
          </w:r>
          <w:r>
            <w:instrText xml:space="preserve"> HYPERLINK \l "_Toc198723405" </w:instrText>
          </w:r>
          <w:r>
            <w:fldChar w:fldCharType="separate"/>
          </w:r>
          <w:r>
            <w:rPr>
              <w:rStyle w:val="15"/>
              <w:lang w:val="ru-RU"/>
            </w:rPr>
            <w:t>Содержание</w:t>
          </w:r>
          <w:r>
            <w:tab/>
          </w:r>
          <w:r>
            <w:fldChar w:fldCharType="begin"/>
          </w:r>
          <w:r>
            <w:instrText xml:space="preserve"> PAGEREF _Toc198723405 \h </w:instrText>
          </w:r>
          <w:r>
            <w:fldChar w:fldCharType="separate"/>
          </w:r>
          <w:r>
            <w:t>3</w:t>
          </w:r>
          <w:r>
            <w:fldChar w:fldCharType="end"/>
          </w:r>
          <w:r>
            <w:fldChar w:fldCharType="end"/>
          </w:r>
        </w:p>
        <w:p w14:paraId="56444BFC">
          <w:pPr>
            <w:pStyle w:val="31"/>
            <w:tabs>
              <w:tab w:val="left" w:pos="880"/>
              <w:tab w:val="right" w:leader="dot" w:pos="9610"/>
            </w:tabs>
            <w:rPr>
              <w:rFonts w:asciiTheme="minorHAnsi" w:hAnsiTheme="minorHAnsi" w:eastAsiaTheme="minorEastAsia" w:cstheme="minorBidi"/>
              <w:sz w:val="22"/>
              <w:szCs w:val="22"/>
              <w:lang w:val="ru-RU" w:eastAsia="ru-RU"/>
            </w:rPr>
          </w:pPr>
          <w:r>
            <w:fldChar w:fldCharType="begin"/>
          </w:r>
          <w:r>
            <w:instrText xml:space="preserve"> HYPERLINK \l "_Toc198723406" </w:instrText>
          </w:r>
          <w:r>
            <w:fldChar w:fldCharType="separate"/>
          </w:r>
          <w:r>
            <w:rPr>
              <w:rStyle w:val="15"/>
              <w:lang w:val="ru-RU"/>
            </w:rPr>
            <w:t>1.</w:t>
          </w:r>
          <w:r>
            <w:rPr>
              <w:rFonts w:asciiTheme="minorHAnsi" w:hAnsiTheme="minorHAnsi" w:eastAsiaTheme="minorEastAsia" w:cstheme="minorBidi"/>
              <w:sz w:val="22"/>
              <w:szCs w:val="22"/>
              <w:lang w:val="ru-RU" w:eastAsia="ru-RU"/>
            </w:rPr>
            <w:tab/>
          </w:r>
          <w:r>
            <w:rPr>
              <w:rStyle w:val="15"/>
              <w:lang w:val="ru-RU"/>
            </w:rPr>
            <w:t>Сведения о планах и программах комплексного социально-экономического развития муниципального округа (при их наличии), для реализации которых осуществляется создание объектов местного значения муниципального округа</w:t>
          </w:r>
          <w:r>
            <w:tab/>
          </w:r>
          <w:r>
            <w:fldChar w:fldCharType="begin"/>
          </w:r>
          <w:r>
            <w:instrText xml:space="preserve"> PAGEREF _Toc198723406 \h </w:instrText>
          </w:r>
          <w:r>
            <w:fldChar w:fldCharType="separate"/>
          </w:r>
          <w:r>
            <w:t>4</w:t>
          </w:r>
          <w:r>
            <w:fldChar w:fldCharType="end"/>
          </w:r>
          <w:r>
            <w:fldChar w:fldCharType="end"/>
          </w:r>
        </w:p>
        <w:p w14:paraId="66A0A696">
          <w:pPr>
            <w:pStyle w:val="31"/>
            <w:tabs>
              <w:tab w:val="left" w:pos="880"/>
              <w:tab w:val="right" w:leader="dot" w:pos="9610"/>
            </w:tabs>
            <w:rPr>
              <w:rFonts w:asciiTheme="minorHAnsi" w:hAnsiTheme="minorHAnsi" w:eastAsiaTheme="minorEastAsia" w:cstheme="minorBidi"/>
              <w:sz w:val="22"/>
              <w:szCs w:val="22"/>
              <w:lang w:val="ru-RU" w:eastAsia="ru-RU"/>
            </w:rPr>
          </w:pPr>
          <w:r>
            <w:fldChar w:fldCharType="begin"/>
          </w:r>
          <w:r>
            <w:instrText xml:space="preserve"> HYPERLINK \l "_Toc198723407" </w:instrText>
          </w:r>
          <w:r>
            <w:fldChar w:fldCharType="separate"/>
          </w:r>
          <w:r>
            <w:rPr>
              <w:rStyle w:val="15"/>
              <w:lang w:val="ru-RU"/>
            </w:rPr>
            <w:t>2.</w:t>
          </w:r>
          <w:r>
            <w:rPr>
              <w:rFonts w:asciiTheme="minorHAnsi" w:hAnsiTheme="minorHAnsi" w:eastAsiaTheme="minorEastAsia" w:cstheme="minorBidi"/>
              <w:sz w:val="22"/>
              <w:szCs w:val="22"/>
              <w:lang w:val="ru-RU" w:eastAsia="ru-RU"/>
            </w:rPr>
            <w:tab/>
          </w:r>
          <w:r>
            <w:rPr>
              <w:rStyle w:val="15"/>
              <w:lang w:val="ru-RU"/>
            </w:rPr>
            <w:t>Обоснование выбранного варианта размещения объектов местного значения муниципального округа на основе анализа использования территорий муниципального округа, возможных направлений развития этих территорий и прогнозируемых ограничений их использования</w:t>
          </w:r>
          <w:r>
            <w:tab/>
          </w:r>
          <w:r>
            <w:fldChar w:fldCharType="begin"/>
          </w:r>
          <w:r>
            <w:instrText xml:space="preserve"> PAGEREF _Toc198723407 \h </w:instrText>
          </w:r>
          <w:r>
            <w:fldChar w:fldCharType="separate"/>
          </w:r>
          <w:r>
            <w:t>6</w:t>
          </w:r>
          <w:r>
            <w:fldChar w:fldCharType="end"/>
          </w:r>
          <w:r>
            <w:fldChar w:fldCharType="end"/>
          </w:r>
        </w:p>
        <w:p w14:paraId="3A2FE9D4">
          <w:pPr>
            <w:pStyle w:val="31"/>
            <w:tabs>
              <w:tab w:val="left" w:pos="880"/>
              <w:tab w:val="right" w:leader="dot" w:pos="9610"/>
            </w:tabs>
            <w:rPr>
              <w:rFonts w:asciiTheme="minorHAnsi" w:hAnsiTheme="minorHAnsi" w:eastAsiaTheme="minorEastAsia" w:cstheme="minorBidi"/>
              <w:sz w:val="22"/>
              <w:szCs w:val="22"/>
              <w:lang w:val="ru-RU" w:eastAsia="ru-RU"/>
            </w:rPr>
          </w:pPr>
          <w:r>
            <w:fldChar w:fldCharType="begin"/>
          </w:r>
          <w:r>
            <w:instrText xml:space="preserve"> HYPERLINK \l "_Toc198723408" </w:instrText>
          </w:r>
          <w:r>
            <w:fldChar w:fldCharType="separate"/>
          </w:r>
          <w:r>
            <w:rPr>
              <w:rStyle w:val="15"/>
              <w:lang w:val="ru-RU"/>
            </w:rPr>
            <w:t>3.</w:t>
          </w:r>
          <w:r>
            <w:rPr>
              <w:rFonts w:asciiTheme="minorHAnsi" w:hAnsiTheme="minorHAnsi" w:eastAsiaTheme="minorEastAsia" w:cstheme="minorBidi"/>
              <w:sz w:val="22"/>
              <w:szCs w:val="22"/>
              <w:lang w:val="ru-RU" w:eastAsia="ru-RU"/>
            </w:rPr>
            <w:tab/>
          </w:r>
          <w:r>
            <w:rPr>
              <w:rStyle w:val="15"/>
              <w:lang w:val="ru-RU"/>
            </w:rPr>
            <w:t>Оценка возможного влияния планируемых для размещения объектов местного значения муниципального округа на комплексное развитие этих территорий.</w:t>
          </w:r>
          <w:r>
            <w:tab/>
          </w:r>
          <w:r>
            <w:fldChar w:fldCharType="begin"/>
          </w:r>
          <w:r>
            <w:instrText xml:space="preserve"> PAGEREF _Toc198723408 \h </w:instrText>
          </w:r>
          <w:r>
            <w:fldChar w:fldCharType="separate"/>
          </w:r>
          <w:r>
            <w:t>15</w:t>
          </w:r>
          <w:r>
            <w:fldChar w:fldCharType="end"/>
          </w:r>
          <w:r>
            <w:fldChar w:fldCharType="end"/>
          </w:r>
        </w:p>
        <w:p w14:paraId="61C40872">
          <w:pPr>
            <w:pStyle w:val="31"/>
            <w:tabs>
              <w:tab w:val="left" w:pos="880"/>
              <w:tab w:val="right" w:leader="dot" w:pos="9610"/>
            </w:tabs>
            <w:rPr>
              <w:rFonts w:asciiTheme="minorHAnsi" w:hAnsiTheme="minorHAnsi" w:eastAsiaTheme="minorEastAsia" w:cstheme="minorBidi"/>
              <w:sz w:val="22"/>
              <w:szCs w:val="22"/>
              <w:lang w:val="ru-RU" w:eastAsia="ru-RU"/>
            </w:rPr>
          </w:pPr>
          <w:r>
            <w:fldChar w:fldCharType="begin"/>
          </w:r>
          <w:r>
            <w:instrText xml:space="preserve"> HYPERLINK \l "_Toc198723409" </w:instrText>
          </w:r>
          <w:r>
            <w:fldChar w:fldCharType="separate"/>
          </w:r>
          <w:r>
            <w:rPr>
              <w:rStyle w:val="15"/>
              <w:lang w:val="ru-RU"/>
            </w:rPr>
            <w:t>4.</w:t>
          </w:r>
          <w:r>
            <w:rPr>
              <w:rFonts w:asciiTheme="minorHAnsi" w:hAnsiTheme="minorHAnsi" w:eastAsiaTheme="minorEastAsia" w:cstheme="minorBidi"/>
              <w:sz w:val="22"/>
              <w:szCs w:val="22"/>
              <w:lang w:val="ru-RU" w:eastAsia="ru-RU"/>
            </w:rPr>
            <w:tab/>
          </w:r>
          <w:r>
            <w:rPr>
              <w:rStyle w:val="15"/>
              <w:lang w:val="ru-RU"/>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территории муниципального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tab/>
          </w:r>
          <w:r>
            <w:fldChar w:fldCharType="begin"/>
          </w:r>
          <w:r>
            <w:instrText xml:space="preserve"> PAGEREF _Toc198723409 \h </w:instrText>
          </w:r>
          <w:r>
            <w:fldChar w:fldCharType="separate"/>
          </w:r>
          <w:r>
            <w:t>15</w:t>
          </w:r>
          <w:r>
            <w:fldChar w:fldCharType="end"/>
          </w:r>
          <w:r>
            <w:fldChar w:fldCharType="end"/>
          </w:r>
        </w:p>
        <w:p w14:paraId="56E24515">
          <w:pPr>
            <w:pStyle w:val="31"/>
            <w:tabs>
              <w:tab w:val="left" w:pos="880"/>
              <w:tab w:val="right" w:leader="dot" w:pos="9610"/>
            </w:tabs>
            <w:rPr>
              <w:rFonts w:asciiTheme="minorHAnsi" w:hAnsiTheme="minorHAnsi" w:eastAsiaTheme="minorEastAsia" w:cstheme="minorBidi"/>
              <w:sz w:val="22"/>
              <w:szCs w:val="22"/>
              <w:lang w:val="ru-RU" w:eastAsia="ru-RU"/>
            </w:rPr>
          </w:pPr>
          <w:r>
            <w:fldChar w:fldCharType="begin"/>
          </w:r>
          <w:r>
            <w:instrText xml:space="preserve"> HYPERLINK \l "_Toc198723410" </w:instrText>
          </w:r>
          <w:r>
            <w:fldChar w:fldCharType="separate"/>
          </w:r>
          <w:r>
            <w:rPr>
              <w:rStyle w:val="15"/>
              <w:lang w:val="ru-RU"/>
            </w:rPr>
            <w:t>5.</w:t>
          </w:r>
          <w:r>
            <w:rPr>
              <w:rFonts w:asciiTheme="minorHAnsi" w:hAnsiTheme="minorHAnsi" w:eastAsiaTheme="minorEastAsia" w:cstheme="minorBidi"/>
              <w:sz w:val="22"/>
              <w:szCs w:val="22"/>
              <w:lang w:val="ru-RU" w:eastAsia="ru-RU"/>
            </w:rPr>
            <w:tab/>
          </w:r>
          <w:r>
            <w:rPr>
              <w:rStyle w:val="15"/>
              <w:lang w:val="ru-RU"/>
            </w:rPr>
            <w:t>Перечень и характеристика основных факторов риска возникновения чрезвычайных ситуаций природного и техногенного характера</w:t>
          </w:r>
          <w:r>
            <w:tab/>
          </w:r>
          <w:r>
            <w:fldChar w:fldCharType="begin"/>
          </w:r>
          <w:r>
            <w:instrText xml:space="preserve"> PAGEREF _Toc198723410 \h </w:instrText>
          </w:r>
          <w:r>
            <w:fldChar w:fldCharType="separate"/>
          </w:r>
          <w:r>
            <w:t>16</w:t>
          </w:r>
          <w:r>
            <w:fldChar w:fldCharType="end"/>
          </w:r>
          <w:r>
            <w:fldChar w:fldCharType="end"/>
          </w:r>
        </w:p>
        <w:p w14:paraId="63B110EA">
          <w:pPr>
            <w:pStyle w:val="31"/>
            <w:tabs>
              <w:tab w:val="left" w:pos="880"/>
              <w:tab w:val="right" w:leader="dot" w:pos="9610"/>
            </w:tabs>
            <w:rPr>
              <w:rFonts w:asciiTheme="minorHAnsi" w:hAnsiTheme="minorHAnsi" w:eastAsiaTheme="minorEastAsia" w:cstheme="minorBidi"/>
              <w:sz w:val="22"/>
              <w:szCs w:val="22"/>
              <w:lang w:val="ru-RU" w:eastAsia="ru-RU"/>
            </w:rPr>
          </w:pPr>
          <w:r>
            <w:fldChar w:fldCharType="begin"/>
          </w:r>
          <w:r>
            <w:instrText xml:space="preserve"> HYPERLINK \l "_Toc198723411" </w:instrText>
          </w:r>
          <w:r>
            <w:fldChar w:fldCharType="separate"/>
          </w:r>
          <w:r>
            <w:rPr>
              <w:rStyle w:val="15"/>
              <w:lang w:val="ru-RU"/>
            </w:rPr>
            <w:t>6.</w:t>
          </w:r>
          <w:r>
            <w:rPr>
              <w:rFonts w:asciiTheme="minorHAnsi" w:hAnsiTheme="minorHAnsi" w:eastAsiaTheme="minorEastAsia" w:cstheme="minorBidi"/>
              <w:sz w:val="22"/>
              <w:szCs w:val="22"/>
              <w:lang w:val="ru-RU" w:eastAsia="ru-RU"/>
            </w:rPr>
            <w:tab/>
          </w:r>
          <w:r>
            <w:rPr>
              <w:rStyle w:val="15"/>
              <w:lang w:val="ru-RU"/>
            </w:rPr>
            <w:t>Перечень земельных участков, которые включаются в границы населенных пунктов, входящих в состав муниципального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tab/>
          </w:r>
          <w:r>
            <w:fldChar w:fldCharType="begin"/>
          </w:r>
          <w:r>
            <w:instrText xml:space="preserve"> PAGEREF _Toc198723411 \h </w:instrText>
          </w:r>
          <w:r>
            <w:fldChar w:fldCharType="separate"/>
          </w:r>
          <w:r>
            <w:t>31</w:t>
          </w:r>
          <w:r>
            <w:fldChar w:fldCharType="end"/>
          </w:r>
          <w:r>
            <w:fldChar w:fldCharType="end"/>
          </w:r>
        </w:p>
        <w:p w14:paraId="4059E631">
          <w:pPr>
            <w:pStyle w:val="31"/>
            <w:tabs>
              <w:tab w:val="left" w:pos="880"/>
              <w:tab w:val="right" w:leader="dot" w:pos="9610"/>
            </w:tabs>
            <w:rPr>
              <w:rFonts w:asciiTheme="minorHAnsi" w:hAnsiTheme="minorHAnsi" w:eastAsiaTheme="minorEastAsia" w:cstheme="minorBidi"/>
              <w:sz w:val="22"/>
              <w:szCs w:val="22"/>
              <w:lang w:val="ru-RU" w:eastAsia="ru-RU"/>
            </w:rPr>
          </w:pPr>
          <w:r>
            <w:fldChar w:fldCharType="begin"/>
          </w:r>
          <w:r>
            <w:instrText xml:space="preserve"> HYPERLINK \l "_Toc198723412" </w:instrText>
          </w:r>
          <w:r>
            <w:fldChar w:fldCharType="separate"/>
          </w:r>
          <w:r>
            <w:rPr>
              <w:rStyle w:val="15"/>
              <w:lang w:val="ru-RU"/>
            </w:rPr>
            <w:t>7.</w:t>
          </w:r>
          <w:r>
            <w:rPr>
              <w:rFonts w:asciiTheme="minorHAnsi" w:hAnsiTheme="minorHAnsi" w:eastAsiaTheme="minorEastAsia" w:cstheme="minorBidi"/>
              <w:sz w:val="22"/>
              <w:szCs w:val="22"/>
              <w:lang w:val="ru-RU" w:eastAsia="ru-RU"/>
            </w:rPr>
            <w:tab/>
          </w:r>
          <w:r>
            <w:rPr>
              <w:rStyle w:val="15"/>
              <w:lang w:val="ru-RU"/>
            </w:rPr>
            <w:t>Сведения об утвержденных предметах охраны на территории муниципального округа.</w:t>
          </w:r>
          <w:r>
            <w:tab/>
          </w:r>
          <w:r>
            <w:fldChar w:fldCharType="begin"/>
          </w:r>
          <w:r>
            <w:instrText xml:space="preserve"> PAGEREF _Toc198723412 \h </w:instrText>
          </w:r>
          <w:r>
            <w:fldChar w:fldCharType="separate"/>
          </w:r>
          <w:r>
            <w:t>38</w:t>
          </w:r>
          <w:r>
            <w:fldChar w:fldCharType="end"/>
          </w:r>
          <w:r>
            <w:fldChar w:fldCharType="end"/>
          </w:r>
        </w:p>
        <w:p w14:paraId="45BF00F0">
          <w:pPr>
            <w:spacing w:line="200" w:lineRule="exact"/>
            <w:rPr>
              <w:sz w:val="20"/>
            </w:rPr>
          </w:pPr>
          <w:r>
            <w:fldChar w:fldCharType="end"/>
          </w:r>
        </w:p>
      </w:sdtContent>
    </w:sdt>
    <w:p w14:paraId="3B19C3DB">
      <w:pPr>
        <w:spacing w:line="357" w:lineRule="auto"/>
        <w:rPr>
          <w:sz w:val="28"/>
          <w:lang w:val="ru-RU"/>
        </w:rPr>
        <w:sectPr>
          <w:footerReference r:id="rId4" w:type="default"/>
          <w:pgSz w:w="11900" w:h="16840"/>
          <w:pgMar w:top="567" w:right="620" w:bottom="1200" w:left="1660" w:header="0" w:footer="1000" w:gutter="0"/>
          <w:pgNumType w:start="2"/>
          <w:cols w:space="720" w:num="1"/>
        </w:sectPr>
      </w:pPr>
    </w:p>
    <w:p w14:paraId="0E39FAEC">
      <w:pPr>
        <w:pStyle w:val="2"/>
        <w:numPr>
          <w:ilvl w:val="0"/>
          <w:numId w:val="2"/>
        </w:numPr>
        <w:tabs>
          <w:tab w:val="left" w:pos="966"/>
        </w:tabs>
        <w:ind w:left="284" w:right="114" w:firstLine="566"/>
        <w:jc w:val="both"/>
        <w:rPr>
          <w:lang w:val="ru-RU"/>
        </w:rPr>
      </w:pPr>
      <w:bookmarkStart w:id="1" w:name="_Toc198723406"/>
      <w:r>
        <w:rPr>
          <w:lang w:val="ru-RU"/>
        </w:rPr>
        <w:t>Сведения о планах и программах комплексного социально-экономического развития муниципального округа (при их наличии), для реализации которых осуществляется создание объектов местного значения муниципального округа</w:t>
      </w:r>
      <w:bookmarkEnd w:id="1"/>
    </w:p>
    <w:p w14:paraId="2D7270A9">
      <w:pPr>
        <w:widowControl/>
        <w:autoSpaceDE/>
        <w:autoSpaceDN/>
        <w:spacing w:line="276" w:lineRule="auto"/>
        <w:ind w:firstLine="567"/>
        <w:jc w:val="both"/>
        <w:rPr>
          <w:sz w:val="28"/>
          <w:szCs w:val="28"/>
          <w:lang w:val="ru-RU" w:eastAsia="ru-RU"/>
        </w:rPr>
      </w:pPr>
    </w:p>
    <w:p w14:paraId="5526D413">
      <w:pPr>
        <w:widowControl/>
        <w:autoSpaceDE/>
        <w:autoSpaceDN/>
        <w:spacing w:line="276" w:lineRule="auto"/>
        <w:ind w:firstLine="567"/>
        <w:jc w:val="both"/>
        <w:rPr>
          <w:sz w:val="28"/>
          <w:szCs w:val="28"/>
          <w:lang w:val="ru-RU" w:eastAsia="ru-RU"/>
        </w:rPr>
      </w:pPr>
      <w:r>
        <w:rPr>
          <w:sz w:val="28"/>
          <w:szCs w:val="28"/>
          <w:lang w:val="ru-RU" w:eastAsia="ru-RU"/>
        </w:rPr>
        <w:t>В проекте учтены утвержденные программы комплексного развития систем коммунальной инфраструктуры, программы комплексного развития транспортной инфраструктуры, программы комплексного развития социальной инфраструктуры.</w:t>
      </w:r>
    </w:p>
    <w:p w14:paraId="27FF7134">
      <w:pPr>
        <w:spacing w:line="276" w:lineRule="auto"/>
        <w:ind w:firstLine="567"/>
        <w:jc w:val="both"/>
        <w:rPr>
          <w:color w:val="FF0000"/>
          <w:sz w:val="16"/>
          <w:szCs w:val="16"/>
          <w:shd w:val="clear" w:color="auto" w:fill="FFFFFF"/>
          <w:lang w:val="ru-RU"/>
        </w:rPr>
      </w:pPr>
    </w:p>
    <w:p w14:paraId="0233AA25">
      <w:pPr>
        <w:spacing w:line="276" w:lineRule="auto"/>
        <w:ind w:firstLine="567"/>
        <w:jc w:val="both"/>
        <w:rPr>
          <w:sz w:val="28"/>
          <w:szCs w:val="28"/>
          <w:shd w:val="clear" w:color="auto" w:fill="FFFFFF"/>
          <w:lang w:val="ru-RU"/>
        </w:rPr>
      </w:pPr>
      <w:bookmarkStart w:id="2" w:name="_Toc499709905"/>
      <w:r>
        <w:rPr>
          <w:sz w:val="28"/>
          <w:szCs w:val="28"/>
          <w:shd w:val="clear" w:color="auto" w:fill="FFFFFF"/>
          <w:lang w:val="ru-RU"/>
        </w:rPr>
        <w:t>Нормативные правовые акты Российской Федерации, субъекта Российской Федерации</w:t>
      </w:r>
      <w:bookmarkEnd w:id="2"/>
      <w:r>
        <w:rPr>
          <w:sz w:val="28"/>
          <w:szCs w:val="28"/>
          <w:shd w:val="clear" w:color="auto" w:fill="FFFFFF"/>
          <w:lang w:val="ru-RU"/>
        </w:rPr>
        <w:t>, с использованием которых был разработан проект генерального плана:</w:t>
      </w:r>
    </w:p>
    <w:p w14:paraId="7A86096E">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Градостроительный кодекс Российской Федерации;</w:t>
      </w:r>
    </w:p>
    <w:p w14:paraId="2F5FC869">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Земельный кодекс Российской Федерации; </w:t>
      </w:r>
    </w:p>
    <w:p w14:paraId="491526A8">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Лесной кодекс Российской Федерации; </w:t>
      </w:r>
    </w:p>
    <w:p w14:paraId="345D5E63">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Водный кодекс Российской Федерации; – Воздушный кодекс Российской Федерации; </w:t>
      </w:r>
    </w:p>
    <w:p w14:paraId="2AA981DA">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29.12.2004 № 191-ФЗ «О введении в действие Градостроительного кодекса Российской Федерации»; </w:t>
      </w:r>
    </w:p>
    <w:p w14:paraId="421304CE">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25.10.2001 № 137-ФЗ «О введении в действие Земельного кодекса Российской Федерации»; </w:t>
      </w:r>
    </w:p>
    <w:p w14:paraId="2C77EF9B">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06.10.2003 № 131-ФЗ «Об общих принципах организации местного самоуправления в Российской Федерации»; </w:t>
      </w:r>
    </w:p>
    <w:p w14:paraId="6B9DE1B4">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24.07.2007 № 221-ФЗ «О государственном кадастре недвижимости»; </w:t>
      </w:r>
    </w:p>
    <w:p w14:paraId="3C58E0D7">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14.03.1995 № 33-ФЗ «Об особо охраняемых природных территориях»; </w:t>
      </w:r>
    </w:p>
    <w:p w14:paraId="787491C6">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25.06.2002 № 73-ФЗ «Об объектах культурного наследия (памятниках истории и культуры) народов Российской Федерации»; </w:t>
      </w:r>
    </w:p>
    <w:p w14:paraId="741C9BEB">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Закон Российской Федерации от 21.02.1992 № 2395-1 «О недрах»; </w:t>
      </w:r>
    </w:p>
    <w:p w14:paraId="2B55522B">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10.01.2003 № 17-ФЗ «О железнодорожном транспорте в Российской Федерации»; </w:t>
      </w:r>
    </w:p>
    <w:p w14:paraId="35CA9709">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p w14:paraId="1060D7E0">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24.06.1998 № 89-ФЗ «Об отходах производства и потребления»; </w:t>
      </w:r>
    </w:p>
    <w:p w14:paraId="6238BA88">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30.03.1999 № 52-ФЗ «О санитарно-эпидемиологическом благополучии населения»; </w:t>
      </w:r>
    </w:p>
    <w:p w14:paraId="25696547">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 </w:t>
      </w:r>
    </w:p>
    <w:p w14:paraId="047C88FB">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26.03.2003 № 35-ФЗ «Об электроэнергетике»; </w:t>
      </w:r>
    </w:p>
    <w:p w14:paraId="43CED774">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31.03.1999 № 69-ФЗ «О газоснабжении в Российской Федерации»; </w:t>
      </w:r>
    </w:p>
    <w:p w14:paraId="49AF1678">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27.07.2010 № 190-ФЗ «О теплоснабжении»; </w:t>
      </w:r>
    </w:p>
    <w:p w14:paraId="37B70B36">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07.12.2011 № 416-ФЗ «О водоснабжении и водоотведении»; </w:t>
      </w:r>
    </w:p>
    <w:p w14:paraId="5C4051BA">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07.07.2003 № 126-ФЗ «О связи»; </w:t>
      </w:r>
    </w:p>
    <w:p w14:paraId="3B615F63">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Федеральный закон от 21.12.1994 № 68-ФЗ «О защите населения и территорий от чрезвычайных ситуаций природного и техногенного характера»; </w:t>
      </w:r>
    </w:p>
    <w:p w14:paraId="281C3F83">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Приказ Министерства регионального развития Российской Федерации от 26.05.2011 № 244 «Об утверждении Методических рекомендаций по разработке проектов генеральных планов поселений и городских округов»; </w:t>
      </w:r>
    </w:p>
    <w:p w14:paraId="4820E7E8">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Приказа Минэкономразвития России от 09.01.2018 г.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N 793»; </w:t>
      </w:r>
    </w:p>
    <w:p w14:paraId="1E8C671E">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СП 42.13330.2016. Свод правил. Градостроительство. Планировка и застройка городских и сельских поселений. Актуализированная редакция СНиП 2.07.01-89*;</w:t>
      </w:r>
    </w:p>
    <w:p w14:paraId="243ADB50">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 xml:space="preserve">СанПиН 2.2.1/2.1.1.1200-03 «Санитарно-защитные зоны и санитарная классификация предприятий, сооружений и иных объектов»; </w:t>
      </w:r>
    </w:p>
    <w:p w14:paraId="77DAC6FB">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СанПиН 2.1.4.1110-02 «Зоны санитарной охраны источников водоснабжения и водопроводов питьевого назначения»;</w:t>
      </w:r>
    </w:p>
    <w:p w14:paraId="58121F66">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Закон Белгородской области от 10.07.2007 № 133 «О регулировании градостроительной деятельности в Белгородской области»;</w:t>
      </w:r>
    </w:p>
    <w:p w14:paraId="64056D06">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Постановление Правительства Белгородской области от 19.11.2007      № 264-пп «Об утверждении региональных нормативов градостроительного проектирования жилых зон реконструируемых городских территорий Белгородской области»;</w:t>
      </w:r>
    </w:p>
    <w:p w14:paraId="7A0F683C">
      <w:pPr>
        <w:pStyle w:val="50"/>
        <w:numPr>
          <w:ilvl w:val="0"/>
          <w:numId w:val="3"/>
        </w:numPr>
        <w:spacing w:line="276" w:lineRule="auto"/>
        <w:ind w:left="0" w:firstLine="284"/>
        <w:jc w:val="both"/>
        <w:rPr>
          <w:sz w:val="28"/>
          <w:szCs w:val="28"/>
          <w:shd w:val="clear" w:color="auto" w:fill="FFFFFF"/>
          <w:lang w:val="ru-RU"/>
        </w:rPr>
      </w:pPr>
      <w:r>
        <w:rPr>
          <w:sz w:val="28"/>
          <w:szCs w:val="28"/>
          <w:shd w:val="clear" w:color="auto" w:fill="FFFFFF"/>
          <w:lang w:val="ru-RU"/>
        </w:rPr>
        <w:t>Постановление Правительство Белгородской области от 25 апреля 2016 г. N 100-пп «Об утверждении региональных нормативов градостроительного проектирования Белгородской области».</w:t>
      </w:r>
    </w:p>
    <w:p w14:paraId="2BD9FB38">
      <w:pPr>
        <w:pStyle w:val="50"/>
        <w:spacing w:line="276" w:lineRule="auto"/>
        <w:ind w:left="284" w:firstLine="0"/>
        <w:jc w:val="both"/>
        <w:rPr>
          <w:sz w:val="28"/>
          <w:szCs w:val="28"/>
          <w:shd w:val="clear" w:color="auto" w:fill="FFFFFF"/>
          <w:lang w:val="ru-RU"/>
        </w:rPr>
      </w:pPr>
    </w:p>
    <w:p w14:paraId="71C443B4">
      <w:pPr>
        <w:widowControl/>
        <w:autoSpaceDE/>
        <w:autoSpaceDN/>
        <w:spacing w:line="276" w:lineRule="auto"/>
        <w:ind w:firstLine="567"/>
        <w:jc w:val="both"/>
        <w:rPr>
          <w:lang w:val="ru-RU"/>
        </w:rPr>
      </w:pPr>
    </w:p>
    <w:p w14:paraId="2A9E7B33">
      <w:pPr>
        <w:widowControl/>
        <w:autoSpaceDE/>
        <w:autoSpaceDN/>
        <w:spacing w:line="276" w:lineRule="auto"/>
        <w:ind w:firstLine="567"/>
        <w:jc w:val="both"/>
        <w:rPr>
          <w:lang w:val="ru-RU"/>
        </w:rPr>
      </w:pPr>
    </w:p>
    <w:p w14:paraId="098546E1">
      <w:pPr>
        <w:widowControl/>
        <w:autoSpaceDE/>
        <w:autoSpaceDN/>
        <w:spacing w:line="276" w:lineRule="auto"/>
        <w:ind w:firstLine="567"/>
        <w:jc w:val="both"/>
        <w:rPr>
          <w:lang w:val="ru-RU"/>
        </w:rPr>
      </w:pPr>
    </w:p>
    <w:p w14:paraId="62B7E5F1">
      <w:pPr>
        <w:widowControl/>
        <w:autoSpaceDE/>
        <w:autoSpaceDN/>
        <w:spacing w:line="276" w:lineRule="auto"/>
        <w:ind w:firstLine="567"/>
        <w:jc w:val="both"/>
        <w:rPr>
          <w:lang w:val="ru-RU"/>
        </w:rPr>
      </w:pPr>
    </w:p>
    <w:p w14:paraId="2D3654B8">
      <w:pPr>
        <w:widowControl/>
        <w:autoSpaceDE/>
        <w:autoSpaceDN/>
        <w:spacing w:line="276" w:lineRule="auto"/>
        <w:ind w:firstLine="567"/>
        <w:jc w:val="both"/>
        <w:rPr>
          <w:lang w:val="ru-RU"/>
        </w:rPr>
      </w:pPr>
    </w:p>
    <w:p w14:paraId="0736FE61">
      <w:pPr>
        <w:widowControl/>
        <w:autoSpaceDE/>
        <w:autoSpaceDN/>
        <w:spacing w:line="276" w:lineRule="auto"/>
        <w:ind w:firstLine="567"/>
        <w:jc w:val="both"/>
        <w:rPr>
          <w:lang w:val="ru-RU"/>
        </w:rPr>
      </w:pPr>
    </w:p>
    <w:p w14:paraId="69905925">
      <w:pPr>
        <w:pStyle w:val="2"/>
        <w:numPr>
          <w:ilvl w:val="0"/>
          <w:numId w:val="2"/>
        </w:numPr>
        <w:tabs>
          <w:tab w:val="left" w:pos="966"/>
        </w:tabs>
        <w:ind w:left="284" w:right="114" w:firstLine="566"/>
        <w:jc w:val="both"/>
        <w:rPr>
          <w:lang w:val="ru-RU"/>
        </w:rPr>
      </w:pPr>
      <w:bookmarkStart w:id="3" w:name="_Toc198723407"/>
      <w:r>
        <w:rPr>
          <w:lang w:val="ru-RU"/>
        </w:rPr>
        <w:t>Обоснование выбранного варианта размещения объектов местного значения муниципального округа на основе анализа использования территорий муниципального округа, возможных направлений развития этих территорий и прогнозируемых ограничений их использования</w:t>
      </w:r>
      <w:bookmarkEnd w:id="3"/>
    </w:p>
    <w:p w14:paraId="64942694">
      <w:pPr>
        <w:pStyle w:val="3"/>
        <w:numPr>
          <w:ilvl w:val="0"/>
          <w:numId w:val="4"/>
        </w:numPr>
        <w:shd w:val="clear" w:color="auto" w:fill="FFFFFF"/>
        <w:spacing w:before="240"/>
        <w:ind w:left="735" w:hanging="375"/>
        <w:jc w:val="center"/>
        <w:rPr>
          <w:rFonts w:ascii="Times New Roman" w:hAnsi="Times New Roman" w:cs="Times New Roman"/>
          <w:color w:val="auto"/>
          <w:sz w:val="28"/>
          <w:lang w:val="ru-RU"/>
        </w:rPr>
      </w:pPr>
      <w:r>
        <w:rPr>
          <w:rFonts w:ascii="Times New Roman" w:hAnsi="Times New Roman" w:cs="Times New Roman"/>
          <w:color w:val="auto"/>
          <w:sz w:val="28"/>
          <w:lang w:val="ru-RU"/>
        </w:rPr>
        <w:t>Анализ использования территории.</w:t>
      </w:r>
    </w:p>
    <w:p w14:paraId="21060C81">
      <w:pPr>
        <w:widowControl/>
        <w:autoSpaceDE/>
        <w:autoSpaceDN/>
        <w:spacing w:line="276" w:lineRule="auto"/>
        <w:ind w:firstLine="567"/>
        <w:jc w:val="both"/>
        <w:rPr>
          <w:sz w:val="28"/>
          <w:szCs w:val="28"/>
          <w:lang w:val="ru-RU" w:eastAsia="ru-RU"/>
        </w:rPr>
      </w:pPr>
      <w:r>
        <w:rPr>
          <w:sz w:val="28"/>
          <w:szCs w:val="28"/>
          <w:lang w:val="ru-RU" w:eastAsia="ru-RU"/>
        </w:rPr>
        <w:t xml:space="preserve">Село Сухарево находится в юго-восточной части Белгородской области, в лесостепной зоне, в пределах юго-западной части </w:t>
      </w:r>
      <w:r>
        <w:fldChar w:fldCharType="begin"/>
      </w:r>
      <w:r>
        <w:instrText xml:space="preserve"> HYPERLINK "https://ru.wikipedia.org/wiki/%D0%A1%D1%80%D0%B5%D0%B4%D0%BD%D0%B5%D1%80%D1%83%D1%81%D1%81%D0%BA%D0%B0%D1%8F_%D0%B2%D0%BE%D0%B7%D0%B2%D1%8B%D1%88%D0%B5%D0%BD%D0%BD%D0%BE%D1%81%D1%82%D1%8C" \o "Среднерусская возвышенность" </w:instrText>
      </w:r>
      <w:r>
        <w:fldChar w:fldCharType="separate"/>
      </w:r>
      <w:r>
        <w:rPr>
          <w:sz w:val="28"/>
          <w:szCs w:val="28"/>
          <w:lang w:val="ru-RU" w:eastAsia="ru-RU"/>
        </w:rPr>
        <w:t>Среднерусской возвышенности</w:t>
      </w:r>
      <w:r>
        <w:rPr>
          <w:sz w:val="28"/>
          <w:szCs w:val="28"/>
          <w:lang w:val="ru-RU" w:eastAsia="ru-RU"/>
        </w:rPr>
        <w:fldChar w:fldCharType="end"/>
      </w:r>
      <w:r>
        <w:rPr>
          <w:sz w:val="28"/>
          <w:szCs w:val="28"/>
          <w:lang w:val="ru-RU" w:eastAsia="ru-RU"/>
        </w:rPr>
        <w:t xml:space="preserve">, на правом берегу реки </w:t>
      </w:r>
      <w:r>
        <w:fldChar w:fldCharType="begin"/>
      </w:r>
      <w:r>
        <w:instrText xml:space="preserve"> HYPERLINK "https://ru.wikipedia.org/wiki/%D0%9A%D0%BE%D0%B7%D0%B8%D0%BD%D0%BA%D0%B0_(%D0%BF%D1%80%D0%B8%D1%82%D0%BE%D0%BA_%D0%9E%D1%81%D0%BA%D0%BE%D0%BB%D0%B0)" \o "Козинка (приток Оскола)" </w:instrText>
      </w:r>
      <w:r>
        <w:fldChar w:fldCharType="separate"/>
      </w:r>
      <w:r>
        <w:rPr>
          <w:sz w:val="28"/>
          <w:szCs w:val="28"/>
          <w:lang w:val="ru-RU" w:eastAsia="ru-RU"/>
        </w:rPr>
        <w:t>Козинки</w:t>
      </w:r>
      <w:r>
        <w:rPr>
          <w:sz w:val="28"/>
          <w:szCs w:val="28"/>
          <w:lang w:val="ru-RU" w:eastAsia="ru-RU"/>
        </w:rPr>
        <w:fldChar w:fldCharType="end"/>
      </w:r>
      <w:r>
        <w:rPr>
          <w:sz w:val="28"/>
          <w:szCs w:val="28"/>
          <w:lang w:val="ru-RU" w:eastAsia="ru-RU"/>
        </w:rPr>
        <w:t xml:space="preserve">, на расстоянии около 9 километров (по прямой) к юго-западу от города </w:t>
      </w:r>
      <w:r>
        <w:fldChar w:fldCharType="begin"/>
      </w:r>
      <w:r>
        <w:instrText xml:space="preserve"> HYPERLINK "https://ru.wikipedia.org/wiki/%D0%92%D0%B0%D0%BB%D1%83%D0%B9%D0%BA%D0%B8" \o "Валуйки" </w:instrText>
      </w:r>
      <w:r>
        <w:fldChar w:fldCharType="separate"/>
      </w:r>
      <w:r>
        <w:rPr>
          <w:sz w:val="28"/>
          <w:szCs w:val="28"/>
          <w:lang w:val="ru-RU" w:eastAsia="ru-RU"/>
        </w:rPr>
        <w:t>Валуйки</w:t>
      </w:r>
      <w:r>
        <w:rPr>
          <w:sz w:val="28"/>
          <w:szCs w:val="28"/>
          <w:lang w:val="ru-RU" w:eastAsia="ru-RU"/>
        </w:rPr>
        <w:fldChar w:fldCharType="end"/>
      </w:r>
      <w:r>
        <w:rPr>
          <w:sz w:val="28"/>
          <w:szCs w:val="28"/>
          <w:lang w:val="ru-RU" w:eastAsia="ru-RU"/>
        </w:rPr>
        <w:t>, административного центра округа, в 170 км от областного центра г. Белгород.</w:t>
      </w:r>
    </w:p>
    <w:p w14:paraId="1B8B400D">
      <w:pPr>
        <w:widowControl/>
        <w:autoSpaceDE/>
        <w:autoSpaceDN/>
        <w:spacing w:line="276" w:lineRule="auto"/>
        <w:ind w:firstLine="567"/>
        <w:jc w:val="both"/>
        <w:rPr>
          <w:sz w:val="28"/>
          <w:szCs w:val="28"/>
          <w:lang w:val="ru-RU" w:eastAsia="ru-RU"/>
        </w:rPr>
      </w:pPr>
      <w:r>
        <w:rPr>
          <w:sz w:val="28"/>
          <w:szCs w:val="28"/>
          <w:lang w:val="ru-RU" w:eastAsia="ru-RU"/>
        </w:rPr>
        <w:t>По одной из версий, название села связано с древним поселением Сихарь, основанным учениками апостола Андрея Первозванного. Согласно летописи села, здесь существовал духовный град, напоминавший библейский Иерусалим. Это стало основой для строительства в 2001 году Храмового комплекса «Новый Иерусалим» — духовного центра, созданного на народные пожертвования.</w:t>
      </w:r>
    </w:p>
    <w:p w14:paraId="00A8E972">
      <w:pPr>
        <w:widowControl/>
        <w:autoSpaceDE/>
        <w:autoSpaceDN/>
        <w:spacing w:line="276" w:lineRule="auto"/>
        <w:ind w:firstLine="567"/>
        <w:jc w:val="both"/>
        <w:rPr>
          <w:sz w:val="28"/>
          <w:szCs w:val="28"/>
          <w:lang w:val="ru-RU" w:eastAsia="ru-RU"/>
        </w:rPr>
      </w:pPr>
      <w:r>
        <w:rPr>
          <w:sz w:val="28"/>
          <w:szCs w:val="28"/>
          <w:lang w:val="ru-RU" w:eastAsia="ru-RU"/>
        </w:rPr>
        <w:t>Площадь территории комплекса составляет 190 гектаров.</w:t>
      </w:r>
    </w:p>
    <w:p w14:paraId="7C698B11">
      <w:pPr>
        <w:widowControl/>
        <w:autoSpaceDE/>
        <w:autoSpaceDN/>
        <w:spacing w:line="276" w:lineRule="auto"/>
        <w:ind w:firstLine="567"/>
        <w:jc w:val="both"/>
        <w:rPr>
          <w:sz w:val="28"/>
          <w:szCs w:val="28"/>
          <w:lang w:val="ru-RU" w:eastAsia="ru-RU"/>
        </w:rPr>
      </w:pPr>
      <w:r>
        <w:rPr>
          <w:sz w:val="28"/>
          <w:szCs w:val="28"/>
          <w:lang w:val="ru-RU"/>
        </w:rPr>
        <w:t>На территории села Сухарево отсутствуют пруды и реки.</w:t>
      </w:r>
    </w:p>
    <w:p w14:paraId="552BC30B">
      <w:pPr>
        <w:widowControl/>
        <w:autoSpaceDE/>
        <w:autoSpaceDN/>
        <w:spacing w:line="276" w:lineRule="auto"/>
        <w:ind w:firstLine="567"/>
        <w:jc w:val="both"/>
        <w:rPr>
          <w:sz w:val="28"/>
          <w:szCs w:val="28"/>
          <w:lang w:val="ru-RU" w:eastAsia="ru-RU"/>
        </w:rPr>
      </w:pPr>
      <w:r>
        <w:rPr>
          <w:sz w:val="28"/>
          <w:szCs w:val="28"/>
          <w:lang w:val="ru-RU" w:eastAsia="ru-RU"/>
        </w:rPr>
        <w:t xml:space="preserve">На территории </w:t>
      </w:r>
      <w:r>
        <w:rPr>
          <w:sz w:val="28"/>
          <w:szCs w:val="28"/>
          <w:lang w:val="ru-RU"/>
        </w:rPr>
        <w:t>села Сухарево</w:t>
      </w:r>
      <w:r>
        <w:rPr>
          <w:sz w:val="28"/>
          <w:szCs w:val="28"/>
          <w:lang w:val="ru-RU" w:eastAsia="ru-RU"/>
        </w:rPr>
        <w:t xml:space="preserve"> расположено 129 домовладений.</w:t>
      </w:r>
    </w:p>
    <w:p w14:paraId="11238427">
      <w:pPr>
        <w:widowControl/>
        <w:autoSpaceDE/>
        <w:autoSpaceDN/>
        <w:spacing w:line="276" w:lineRule="auto"/>
        <w:ind w:firstLine="567"/>
        <w:jc w:val="both"/>
        <w:rPr>
          <w:sz w:val="28"/>
          <w:szCs w:val="28"/>
          <w:lang w:val="ru-RU" w:eastAsia="ru-RU"/>
        </w:rPr>
      </w:pPr>
      <w:r>
        <w:rPr>
          <w:sz w:val="28"/>
          <w:szCs w:val="28"/>
          <w:lang w:val="ru-RU" w:eastAsia="ru-RU"/>
        </w:rPr>
        <w:t>Численность населения села Сухарево по состоянию на 01.01.2024 года составила 283 человека.</w:t>
      </w:r>
    </w:p>
    <w:p w14:paraId="4EEF1C95">
      <w:pPr>
        <w:tabs>
          <w:tab w:val="left" w:pos="-720"/>
        </w:tabs>
        <w:ind w:right="-39" w:firstLine="567"/>
        <w:jc w:val="center"/>
        <w:rPr>
          <w:b/>
          <w:kern w:val="2"/>
          <w:sz w:val="24"/>
          <w:szCs w:val="24"/>
          <w:lang w:val="ru-RU"/>
        </w:rPr>
      </w:pPr>
      <w:r>
        <w:rPr>
          <w:b/>
          <w:kern w:val="2"/>
          <w:sz w:val="24"/>
          <w:szCs w:val="24"/>
          <w:lang w:val="ru-RU"/>
        </w:rPr>
        <w:t>Сведения о населенном пункте и населении села Сухарево</w:t>
      </w:r>
    </w:p>
    <w:tbl>
      <w:tblPr>
        <w:tblStyle w:val="44"/>
        <w:tblW w:w="0" w:type="auto"/>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88"/>
        <w:gridCol w:w="1034"/>
        <w:gridCol w:w="1377"/>
        <w:gridCol w:w="1378"/>
        <w:gridCol w:w="1511"/>
        <w:gridCol w:w="1417"/>
        <w:gridCol w:w="1559"/>
      </w:tblGrid>
      <w:tr w14:paraId="3403BF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88" w:type="dxa"/>
          </w:tcPr>
          <w:p w14:paraId="71EE035C">
            <w:pPr>
              <w:widowControl/>
              <w:autoSpaceDE/>
              <w:autoSpaceDN/>
              <w:jc w:val="center"/>
              <w:rPr>
                <w:b/>
                <w:bCs/>
                <w:sz w:val="24"/>
                <w:szCs w:val="24"/>
                <w:lang w:val="ru-RU" w:eastAsia="ru-RU"/>
              </w:rPr>
            </w:pPr>
            <w:r>
              <w:rPr>
                <w:b/>
                <w:bCs/>
                <w:sz w:val="24"/>
                <w:szCs w:val="24"/>
                <w:lang w:val="ru-RU" w:eastAsia="ru-RU"/>
              </w:rPr>
              <w:t>Населённый пункт</w:t>
            </w:r>
          </w:p>
        </w:tc>
        <w:tc>
          <w:tcPr>
            <w:tcW w:w="1034" w:type="dxa"/>
          </w:tcPr>
          <w:p w14:paraId="70797EA6">
            <w:pPr>
              <w:widowControl/>
              <w:autoSpaceDE/>
              <w:autoSpaceDN/>
              <w:jc w:val="center"/>
              <w:rPr>
                <w:b/>
                <w:bCs/>
                <w:sz w:val="24"/>
                <w:szCs w:val="24"/>
                <w:lang w:val="ru-RU" w:eastAsia="ru-RU"/>
              </w:rPr>
            </w:pPr>
            <w:r>
              <w:rPr>
                <w:b/>
                <w:bCs/>
                <w:sz w:val="24"/>
                <w:szCs w:val="24"/>
                <w:lang w:val="ru-RU" w:eastAsia="ru-RU"/>
              </w:rPr>
              <w:t>Тип</w:t>
            </w:r>
          </w:p>
        </w:tc>
        <w:tc>
          <w:tcPr>
            <w:tcW w:w="1377" w:type="dxa"/>
            <w:shd w:val="clear" w:color="auto" w:fill="auto"/>
          </w:tcPr>
          <w:p w14:paraId="1F284581">
            <w:pPr>
              <w:widowControl/>
              <w:autoSpaceDE/>
              <w:autoSpaceDN/>
              <w:jc w:val="center"/>
              <w:rPr>
                <w:b/>
                <w:bCs/>
                <w:sz w:val="24"/>
                <w:szCs w:val="24"/>
                <w:lang w:val="ru-RU" w:eastAsia="ru-RU"/>
              </w:rPr>
            </w:pPr>
            <w:r>
              <w:rPr>
                <w:b/>
                <w:bCs/>
                <w:sz w:val="24"/>
                <w:szCs w:val="24"/>
                <w:lang w:val="ru-RU" w:eastAsia="ru-RU"/>
              </w:rPr>
              <w:t>Население (20</w:t>
            </w:r>
            <w:r>
              <w:rPr>
                <w:b/>
                <w:bCs/>
                <w:sz w:val="24"/>
                <w:szCs w:val="24"/>
                <w:lang w:val="en-US" w:eastAsia="ru-RU"/>
              </w:rPr>
              <w:t>17</w:t>
            </w:r>
            <w:r>
              <w:rPr>
                <w:b/>
                <w:bCs/>
                <w:sz w:val="24"/>
                <w:szCs w:val="24"/>
                <w:lang w:val="ru-RU" w:eastAsia="ru-RU"/>
              </w:rPr>
              <w:t>г)</w:t>
            </w:r>
          </w:p>
        </w:tc>
        <w:tc>
          <w:tcPr>
            <w:tcW w:w="1378" w:type="dxa"/>
            <w:shd w:val="clear" w:color="auto" w:fill="auto"/>
          </w:tcPr>
          <w:p w14:paraId="4397C606">
            <w:pPr>
              <w:widowControl/>
              <w:autoSpaceDE/>
              <w:autoSpaceDN/>
              <w:jc w:val="center"/>
              <w:rPr>
                <w:b/>
                <w:bCs/>
                <w:sz w:val="24"/>
                <w:szCs w:val="24"/>
                <w:lang w:val="ru-RU" w:eastAsia="ru-RU"/>
              </w:rPr>
            </w:pPr>
            <w:r>
              <w:rPr>
                <w:b/>
                <w:bCs/>
                <w:sz w:val="24"/>
                <w:szCs w:val="24"/>
                <w:lang w:val="ru-RU" w:eastAsia="ru-RU"/>
              </w:rPr>
              <w:t>Население (20</w:t>
            </w:r>
            <w:r>
              <w:rPr>
                <w:b/>
                <w:bCs/>
                <w:sz w:val="24"/>
                <w:szCs w:val="24"/>
                <w:lang w:val="en-US" w:eastAsia="ru-RU"/>
              </w:rPr>
              <w:t>18</w:t>
            </w:r>
            <w:r>
              <w:rPr>
                <w:b/>
                <w:bCs/>
                <w:sz w:val="24"/>
                <w:szCs w:val="24"/>
                <w:lang w:val="ru-RU" w:eastAsia="ru-RU"/>
              </w:rPr>
              <w:t>г)</w:t>
            </w:r>
          </w:p>
        </w:tc>
        <w:tc>
          <w:tcPr>
            <w:tcW w:w="1511" w:type="dxa"/>
            <w:shd w:val="clear" w:color="auto" w:fill="auto"/>
          </w:tcPr>
          <w:p w14:paraId="563CB6CA">
            <w:pPr>
              <w:widowControl/>
              <w:autoSpaceDE/>
              <w:autoSpaceDN/>
              <w:jc w:val="center"/>
              <w:rPr>
                <w:b/>
                <w:bCs/>
                <w:sz w:val="24"/>
                <w:szCs w:val="24"/>
                <w:lang w:val="ru-RU" w:eastAsia="ru-RU"/>
              </w:rPr>
            </w:pPr>
            <w:r>
              <w:rPr>
                <w:b/>
                <w:bCs/>
                <w:sz w:val="24"/>
                <w:szCs w:val="24"/>
                <w:lang w:val="ru-RU" w:eastAsia="ru-RU"/>
              </w:rPr>
              <w:t>Население (2021г)</w:t>
            </w:r>
          </w:p>
        </w:tc>
        <w:tc>
          <w:tcPr>
            <w:tcW w:w="1417" w:type="dxa"/>
            <w:shd w:val="clear" w:color="auto" w:fill="auto"/>
          </w:tcPr>
          <w:p w14:paraId="501C3619">
            <w:pPr>
              <w:widowControl/>
              <w:autoSpaceDE/>
              <w:autoSpaceDN/>
              <w:jc w:val="center"/>
              <w:rPr>
                <w:b/>
                <w:bCs/>
                <w:sz w:val="24"/>
                <w:szCs w:val="24"/>
                <w:lang w:val="ru-RU" w:eastAsia="ru-RU"/>
              </w:rPr>
            </w:pPr>
            <w:r>
              <w:rPr>
                <w:b/>
                <w:bCs/>
                <w:sz w:val="24"/>
                <w:szCs w:val="24"/>
                <w:lang w:val="ru-RU" w:eastAsia="ru-RU"/>
              </w:rPr>
              <w:t>Население (2022г)</w:t>
            </w:r>
          </w:p>
        </w:tc>
        <w:tc>
          <w:tcPr>
            <w:tcW w:w="1559" w:type="dxa"/>
            <w:shd w:val="clear" w:color="auto" w:fill="auto"/>
          </w:tcPr>
          <w:p w14:paraId="67F624DF">
            <w:pPr>
              <w:widowControl/>
              <w:autoSpaceDE/>
              <w:autoSpaceDN/>
              <w:jc w:val="center"/>
              <w:rPr>
                <w:b/>
                <w:bCs/>
                <w:sz w:val="24"/>
                <w:szCs w:val="24"/>
                <w:lang w:val="ru-RU" w:eastAsia="ru-RU"/>
              </w:rPr>
            </w:pPr>
            <w:r>
              <w:rPr>
                <w:b/>
                <w:bCs/>
                <w:sz w:val="24"/>
                <w:szCs w:val="24"/>
                <w:lang w:val="ru-RU" w:eastAsia="ru-RU"/>
              </w:rPr>
              <w:t>Население (202</w:t>
            </w:r>
            <w:r>
              <w:rPr>
                <w:b/>
                <w:bCs/>
                <w:sz w:val="24"/>
                <w:szCs w:val="24"/>
                <w:lang w:val="en-US" w:eastAsia="ru-RU"/>
              </w:rPr>
              <w:t>3</w:t>
            </w:r>
            <w:r>
              <w:rPr>
                <w:b/>
                <w:bCs/>
                <w:sz w:val="24"/>
                <w:szCs w:val="24"/>
                <w:lang w:val="ru-RU" w:eastAsia="ru-RU"/>
              </w:rPr>
              <w:t>г)</w:t>
            </w:r>
          </w:p>
        </w:tc>
      </w:tr>
      <w:tr w14:paraId="0769BB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88" w:type="dxa"/>
          </w:tcPr>
          <w:p w14:paraId="5B4C11D8">
            <w:pPr>
              <w:widowControl/>
              <w:autoSpaceDE/>
              <w:autoSpaceDN/>
              <w:rPr>
                <w:sz w:val="24"/>
                <w:szCs w:val="24"/>
                <w:lang w:val="ru-RU" w:eastAsia="ru-RU"/>
              </w:rPr>
            </w:pPr>
            <w:r>
              <w:rPr>
                <w:sz w:val="24"/>
                <w:szCs w:val="24"/>
                <w:lang w:val="ru-RU" w:eastAsia="ru-RU"/>
              </w:rPr>
              <w:t xml:space="preserve">Сухарево </w:t>
            </w:r>
          </w:p>
        </w:tc>
        <w:tc>
          <w:tcPr>
            <w:tcW w:w="1034" w:type="dxa"/>
          </w:tcPr>
          <w:p w14:paraId="22701333">
            <w:pPr>
              <w:widowControl/>
              <w:autoSpaceDE/>
              <w:autoSpaceDN/>
              <w:rPr>
                <w:sz w:val="24"/>
                <w:szCs w:val="24"/>
                <w:lang w:val="ru-RU" w:eastAsia="ru-RU"/>
              </w:rPr>
            </w:pPr>
            <w:r>
              <w:rPr>
                <w:sz w:val="24"/>
                <w:szCs w:val="24"/>
                <w:lang w:val="ru-RU" w:eastAsia="ru-RU"/>
              </w:rPr>
              <w:t xml:space="preserve">село </w:t>
            </w:r>
          </w:p>
        </w:tc>
        <w:tc>
          <w:tcPr>
            <w:tcW w:w="1377" w:type="dxa"/>
            <w:shd w:val="clear" w:color="auto" w:fill="auto"/>
          </w:tcPr>
          <w:p w14:paraId="7D31A391">
            <w:pPr>
              <w:widowControl/>
              <w:autoSpaceDE/>
              <w:autoSpaceDN/>
              <w:jc w:val="right"/>
              <w:rPr>
                <w:sz w:val="24"/>
                <w:szCs w:val="24"/>
                <w:lang w:val="ru-RU" w:eastAsia="ru-RU"/>
              </w:rPr>
            </w:pPr>
            <w:r>
              <w:rPr>
                <w:rFonts w:ascii="Cambria Math" w:hAnsi="Cambria Math" w:cs="Cambria Math"/>
                <w:b/>
                <w:bCs/>
                <w:sz w:val="27"/>
                <w:szCs w:val="27"/>
                <w:lang w:val="ru-RU" w:eastAsia="ru-RU"/>
              </w:rPr>
              <w:t>↘</w:t>
            </w:r>
            <w:r>
              <w:rPr>
                <w:sz w:val="24"/>
                <w:szCs w:val="24"/>
                <w:lang w:val="ru-RU" w:eastAsia="ru-RU"/>
              </w:rPr>
              <w:t xml:space="preserve">276 </w:t>
            </w:r>
          </w:p>
        </w:tc>
        <w:tc>
          <w:tcPr>
            <w:tcW w:w="1378" w:type="dxa"/>
            <w:shd w:val="clear" w:color="auto" w:fill="auto"/>
          </w:tcPr>
          <w:p w14:paraId="1EAECD71">
            <w:pPr>
              <w:widowControl/>
              <w:autoSpaceDE/>
              <w:autoSpaceDN/>
              <w:jc w:val="right"/>
              <w:rPr>
                <w:sz w:val="24"/>
                <w:szCs w:val="24"/>
                <w:lang w:val="ru-RU" w:eastAsia="ru-RU"/>
              </w:rPr>
            </w:pPr>
            <w:r>
              <w:rPr>
                <w:rFonts w:ascii="Cambria Math" w:hAnsi="Cambria Math" w:cs="Cambria Math"/>
                <w:b/>
                <w:bCs/>
                <w:sz w:val="27"/>
                <w:szCs w:val="27"/>
                <w:lang w:val="ru-RU" w:eastAsia="ru-RU"/>
              </w:rPr>
              <w:t>↘</w:t>
            </w:r>
            <w:r>
              <w:rPr>
                <w:sz w:val="24"/>
                <w:szCs w:val="24"/>
                <w:lang w:val="ru-RU" w:eastAsia="ru-RU"/>
              </w:rPr>
              <w:t>247</w:t>
            </w:r>
          </w:p>
        </w:tc>
        <w:tc>
          <w:tcPr>
            <w:tcW w:w="1511" w:type="dxa"/>
            <w:shd w:val="clear" w:color="auto" w:fill="auto"/>
          </w:tcPr>
          <w:p w14:paraId="50F6A345">
            <w:pPr>
              <w:widowControl/>
              <w:autoSpaceDE/>
              <w:autoSpaceDN/>
              <w:jc w:val="right"/>
              <w:rPr>
                <w:sz w:val="24"/>
                <w:szCs w:val="24"/>
                <w:lang w:val="ru-RU" w:eastAsia="ru-RU"/>
              </w:rPr>
            </w:pPr>
            <w:r>
              <w:rPr>
                <w:rFonts w:ascii="Cambria Math" w:hAnsi="Cambria Math" w:cs="Cambria Math"/>
                <w:b/>
                <w:bCs/>
                <w:sz w:val="27"/>
                <w:szCs w:val="27"/>
                <w:lang w:val="ru-RU" w:eastAsia="ru-RU"/>
              </w:rPr>
              <w:t>↗</w:t>
            </w:r>
            <w:r>
              <w:rPr>
                <w:sz w:val="24"/>
                <w:szCs w:val="24"/>
                <w:lang w:val="ru-RU" w:eastAsia="ru-RU"/>
              </w:rPr>
              <w:t>286</w:t>
            </w:r>
          </w:p>
        </w:tc>
        <w:tc>
          <w:tcPr>
            <w:tcW w:w="1417" w:type="dxa"/>
            <w:shd w:val="clear" w:color="auto" w:fill="auto"/>
          </w:tcPr>
          <w:p w14:paraId="6A7F0718">
            <w:pPr>
              <w:widowControl/>
              <w:autoSpaceDE/>
              <w:autoSpaceDN/>
              <w:jc w:val="right"/>
              <w:rPr>
                <w:sz w:val="24"/>
                <w:szCs w:val="24"/>
                <w:lang w:val="ru-RU" w:eastAsia="ru-RU"/>
              </w:rPr>
            </w:pPr>
            <w:r>
              <w:rPr>
                <w:rFonts w:ascii="Cambria Math" w:hAnsi="Cambria Math" w:cs="Cambria Math"/>
                <w:b/>
                <w:bCs/>
                <w:sz w:val="27"/>
                <w:szCs w:val="27"/>
                <w:lang w:val="ru-RU" w:eastAsia="ru-RU"/>
              </w:rPr>
              <w:t>↘</w:t>
            </w:r>
            <w:r>
              <w:rPr>
                <w:sz w:val="24"/>
                <w:szCs w:val="24"/>
                <w:lang w:val="ru-RU" w:eastAsia="ru-RU"/>
              </w:rPr>
              <w:t>285</w:t>
            </w:r>
          </w:p>
        </w:tc>
        <w:tc>
          <w:tcPr>
            <w:tcW w:w="1559" w:type="dxa"/>
            <w:shd w:val="clear" w:color="auto" w:fill="auto"/>
          </w:tcPr>
          <w:p w14:paraId="7B26F30F">
            <w:pPr>
              <w:widowControl/>
              <w:autoSpaceDE/>
              <w:autoSpaceDN/>
              <w:jc w:val="right"/>
              <w:rPr>
                <w:sz w:val="24"/>
                <w:szCs w:val="24"/>
                <w:lang w:val="ru-RU" w:eastAsia="ru-RU"/>
              </w:rPr>
            </w:pPr>
            <w:r>
              <w:rPr>
                <w:rFonts w:ascii="Cambria Math" w:hAnsi="Cambria Math" w:cs="Cambria Math"/>
                <w:b/>
                <w:bCs/>
                <w:sz w:val="27"/>
                <w:szCs w:val="27"/>
                <w:lang w:val="ru-RU" w:eastAsia="ru-RU"/>
              </w:rPr>
              <w:t>↘</w:t>
            </w:r>
            <w:r>
              <w:rPr>
                <w:sz w:val="24"/>
                <w:szCs w:val="24"/>
                <w:lang w:val="en-US" w:eastAsia="ru-RU"/>
              </w:rPr>
              <w:t>283</w:t>
            </w:r>
          </w:p>
        </w:tc>
      </w:tr>
    </w:tbl>
    <w:p w14:paraId="132251E6">
      <w:pPr>
        <w:widowControl/>
        <w:autoSpaceDE/>
        <w:autoSpaceDN/>
        <w:spacing w:line="276" w:lineRule="auto"/>
        <w:ind w:firstLine="567"/>
        <w:jc w:val="both"/>
        <w:rPr>
          <w:sz w:val="28"/>
          <w:szCs w:val="28"/>
          <w:lang w:val="ru-RU" w:eastAsia="ru-RU"/>
        </w:rPr>
      </w:pPr>
    </w:p>
    <w:p w14:paraId="4788CFA3">
      <w:pPr>
        <w:widowControl/>
        <w:autoSpaceDE/>
        <w:autoSpaceDN/>
        <w:spacing w:line="276" w:lineRule="auto"/>
        <w:ind w:firstLine="567"/>
        <w:jc w:val="both"/>
        <w:rPr>
          <w:sz w:val="28"/>
          <w:szCs w:val="28"/>
          <w:lang w:val="ru-RU" w:eastAsia="ru-RU"/>
        </w:rPr>
      </w:pPr>
      <w:r>
        <w:rPr>
          <w:sz w:val="28"/>
          <w:szCs w:val="28"/>
          <w:lang w:val="ru-RU" w:eastAsia="ru-RU"/>
        </w:rPr>
        <w:t xml:space="preserve">По данным </w:t>
      </w:r>
      <w:r>
        <w:fldChar w:fldCharType="begin"/>
      </w:r>
      <w:r>
        <w:instrText xml:space="preserve"> HYPERLINK "https://ru.wikipedia.org/wiki/%D0%92%D1%81%D0%B5%D1%80%D0%BE%D1%81%D1%81%D0%B8%D0%B9%D1%81%D0%BA%D0%B0%D1%8F_%D0%BF%D0%B5%D1%80%D0%B5%D0%BF%D0%B8%D1%81%D1%8C_%D0%BD%D0%B0%D1%81%D0%B5%D0%BB%D0%B5%D0%BD%D0%B8%D1%8F_(2010)" \o "Всероссийская перепись населения (2010)" </w:instrText>
      </w:r>
      <w:r>
        <w:fldChar w:fldCharType="separate"/>
      </w:r>
      <w:r>
        <w:rPr>
          <w:sz w:val="28"/>
          <w:szCs w:val="28"/>
          <w:lang w:val="ru-RU" w:eastAsia="ru-RU"/>
        </w:rPr>
        <w:t>Всероссийской переписи населения 2010 года</w:t>
      </w:r>
      <w:r>
        <w:rPr>
          <w:sz w:val="28"/>
          <w:szCs w:val="28"/>
          <w:lang w:val="ru-RU" w:eastAsia="ru-RU"/>
        </w:rPr>
        <w:fldChar w:fldCharType="end"/>
      </w:r>
      <w:r>
        <w:rPr>
          <w:sz w:val="28"/>
          <w:szCs w:val="28"/>
          <w:lang w:val="ru-RU" w:eastAsia="ru-RU"/>
        </w:rPr>
        <w:t xml:space="preserve"> в гендерной структуре населения мужчины составляли 47,5 %, женщины — соответственно 52,5 %. Согласно результатам </w:t>
      </w:r>
      <w:r>
        <w:fldChar w:fldCharType="begin"/>
      </w:r>
      <w:r>
        <w:instrText xml:space="preserve"> HYPERLINK "https://ru.wikipedia.org/wiki/%D0%92%D1%81%D0%B5%D1%80%D0%BE%D1%81%D1%81%D0%B8%D0%B9%D1%81%D0%BA%D0%B0%D1%8F_%D0%BF%D0%B5%D1%80%D0%B5%D0%BF%D0%B8%D1%81%D1%8C_%D0%BD%D0%B0%D1%81%D0%B5%D0%BB%D0%B5%D0%BD%D0%B8%D1%8F_(2002)" \o "Всероссийская перепись населения (2002)" </w:instrText>
      </w:r>
      <w:r>
        <w:fldChar w:fldCharType="separate"/>
      </w:r>
      <w:r>
        <w:rPr>
          <w:sz w:val="28"/>
          <w:szCs w:val="28"/>
          <w:lang w:val="ru-RU" w:eastAsia="ru-RU"/>
        </w:rPr>
        <w:t>переписи 2002 года</w:t>
      </w:r>
      <w:r>
        <w:rPr>
          <w:sz w:val="28"/>
          <w:szCs w:val="28"/>
          <w:lang w:val="ru-RU" w:eastAsia="ru-RU"/>
        </w:rPr>
        <w:fldChar w:fldCharType="end"/>
      </w:r>
      <w:r>
        <w:rPr>
          <w:sz w:val="28"/>
          <w:szCs w:val="28"/>
          <w:lang w:val="ru-RU" w:eastAsia="ru-RU"/>
        </w:rPr>
        <w:t xml:space="preserve">, в национальной структуре населения </w:t>
      </w:r>
      <w:r>
        <w:fldChar w:fldCharType="begin"/>
      </w:r>
      <w:r>
        <w:instrText xml:space="preserve"> HYPERLINK "https://ru.wikipedia.org/wiki/%D0%A0%D1%83%D1%81%D1%81%D0%BA%D0%B8%D0%B5" \o "Русские" </w:instrText>
      </w:r>
      <w:r>
        <w:fldChar w:fldCharType="separate"/>
      </w:r>
      <w:r>
        <w:rPr>
          <w:sz w:val="28"/>
          <w:szCs w:val="28"/>
          <w:lang w:val="ru-RU" w:eastAsia="ru-RU"/>
        </w:rPr>
        <w:t>русские</w:t>
      </w:r>
      <w:r>
        <w:rPr>
          <w:sz w:val="28"/>
          <w:szCs w:val="28"/>
          <w:lang w:val="ru-RU" w:eastAsia="ru-RU"/>
        </w:rPr>
        <w:fldChar w:fldCharType="end"/>
      </w:r>
      <w:r>
        <w:rPr>
          <w:sz w:val="28"/>
          <w:szCs w:val="28"/>
          <w:lang w:val="ru-RU" w:eastAsia="ru-RU"/>
        </w:rPr>
        <w:t xml:space="preserve"> составляли 97 %.</w:t>
      </w:r>
    </w:p>
    <w:p w14:paraId="4BE1267A">
      <w:pPr>
        <w:widowControl/>
        <w:autoSpaceDE/>
        <w:autoSpaceDN/>
        <w:spacing w:line="276" w:lineRule="auto"/>
        <w:ind w:firstLine="567"/>
        <w:jc w:val="both"/>
        <w:rPr>
          <w:sz w:val="28"/>
          <w:szCs w:val="28"/>
          <w:lang w:val="ru-RU" w:eastAsia="ru-RU"/>
        </w:rPr>
      </w:pPr>
      <w:r>
        <w:rPr>
          <w:sz w:val="28"/>
          <w:szCs w:val="28"/>
          <w:lang w:val="ru-RU" w:eastAsia="ru-RU"/>
        </w:rPr>
        <w:t>Расчетное количество населения на 2038 г. составит 280 человек.</w:t>
      </w:r>
    </w:p>
    <w:p w14:paraId="44C8521A">
      <w:pPr>
        <w:widowControl/>
        <w:autoSpaceDE/>
        <w:autoSpaceDN/>
        <w:spacing w:line="276" w:lineRule="auto"/>
        <w:ind w:firstLine="567"/>
        <w:jc w:val="both"/>
        <w:rPr>
          <w:sz w:val="28"/>
          <w:szCs w:val="28"/>
          <w:lang w:val="ru-RU" w:eastAsia="ru-RU"/>
        </w:rPr>
      </w:pPr>
      <w:r>
        <w:rPr>
          <w:sz w:val="28"/>
          <w:szCs w:val="28"/>
          <w:lang w:val="ru-RU" w:eastAsia="ru-RU"/>
        </w:rPr>
        <w:t>Село имеет автобусное сообщение с центром муниципального округа.</w:t>
      </w:r>
    </w:p>
    <w:p w14:paraId="37435D18">
      <w:pPr>
        <w:widowControl/>
        <w:autoSpaceDE/>
        <w:autoSpaceDN/>
        <w:spacing w:line="276" w:lineRule="auto"/>
        <w:ind w:firstLine="567"/>
        <w:jc w:val="both"/>
        <w:rPr>
          <w:sz w:val="28"/>
          <w:szCs w:val="28"/>
          <w:lang w:val="ru-RU" w:eastAsia="ru-RU"/>
        </w:rPr>
      </w:pPr>
      <w:r>
        <w:rPr>
          <w:sz w:val="28"/>
          <w:szCs w:val="28"/>
          <w:lang w:val="ru-RU" w:eastAsia="ru-RU"/>
        </w:rPr>
        <w:t>Общая протяженность автомобильных дорог с твердым покрытием в селе –5,738 км.</w:t>
      </w:r>
    </w:p>
    <w:p w14:paraId="7BC2828D">
      <w:pPr>
        <w:widowControl/>
        <w:autoSpaceDE/>
        <w:autoSpaceDN/>
        <w:spacing w:line="276" w:lineRule="auto"/>
        <w:ind w:firstLine="567"/>
        <w:jc w:val="both"/>
        <w:rPr>
          <w:sz w:val="28"/>
          <w:szCs w:val="28"/>
          <w:lang w:val="ru-RU" w:eastAsia="ru-RU"/>
        </w:rPr>
      </w:pPr>
      <w:r>
        <w:rPr>
          <w:sz w:val="28"/>
          <w:szCs w:val="28"/>
          <w:lang w:val="ru-RU" w:eastAsia="ru-RU"/>
        </w:rPr>
        <w:t>Площадь села в существующих границах составляет –0,94 км</w:t>
      </w:r>
      <w:r>
        <w:rPr>
          <w:sz w:val="28"/>
          <w:szCs w:val="28"/>
          <w:vertAlign w:val="superscript"/>
          <w:lang w:val="ru-RU" w:eastAsia="ru-RU"/>
        </w:rPr>
        <w:t>2</w:t>
      </w:r>
      <w:r>
        <w:rPr>
          <w:sz w:val="28"/>
          <w:szCs w:val="28"/>
          <w:lang w:val="ru-RU" w:eastAsia="ru-RU"/>
        </w:rPr>
        <w:t>.</w:t>
      </w:r>
    </w:p>
    <w:p w14:paraId="18105D4E">
      <w:pPr>
        <w:widowControl/>
        <w:autoSpaceDE/>
        <w:autoSpaceDN/>
        <w:spacing w:line="276" w:lineRule="auto"/>
        <w:ind w:firstLine="567"/>
        <w:jc w:val="both"/>
        <w:rPr>
          <w:sz w:val="28"/>
          <w:szCs w:val="28"/>
          <w:lang w:val="ru-RU" w:eastAsia="ru-RU"/>
        </w:rPr>
      </w:pPr>
    </w:p>
    <w:p w14:paraId="3D7F5D68">
      <w:pPr>
        <w:pStyle w:val="30"/>
        <w:spacing w:before="58" w:line="276" w:lineRule="auto"/>
        <w:ind w:left="100" w:right="115" w:firstLine="566"/>
        <w:jc w:val="center"/>
        <w:rPr>
          <w:b/>
          <w:sz w:val="24"/>
          <w:szCs w:val="24"/>
          <w:lang w:val="ru-RU"/>
        </w:rPr>
      </w:pPr>
      <w:r>
        <w:rPr>
          <w:b/>
          <w:sz w:val="24"/>
          <w:szCs w:val="24"/>
          <w:lang w:val="ru-RU"/>
        </w:rPr>
        <w:t>Территория и население села Сухарево на 01.01.2024 г.</w:t>
      </w:r>
    </w:p>
    <w:tbl>
      <w:tblPr>
        <w:tblStyle w:val="44"/>
        <w:tblW w:w="0" w:type="auto"/>
        <w:tblInd w:w="25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22"/>
        <w:gridCol w:w="2411"/>
        <w:gridCol w:w="2889"/>
        <w:gridCol w:w="2976"/>
      </w:tblGrid>
      <w:tr w14:paraId="7DA315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7" w:hRule="atLeast"/>
        </w:trPr>
        <w:tc>
          <w:tcPr>
            <w:tcW w:w="1822" w:type="dxa"/>
            <w:vAlign w:val="center"/>
          </w:tcPr>
          <w:p w14:paraId="08F29023">
            <w:pPr>
              <w:widowControl/>
              <w:autoSpaceDE/>
              <w:autoSpaceDN/>
              <w:jc w:val="center"/>
              <w:rPr>
                <w:b/>
                <w:bCs/>
                <w:sz w:val="24"/>
                <w:szCs w:val="24"/>
                <w:lang w:val="ru-RU" w:eastAsia="ru-RU"/>
              </w:rPr>
            </w:pPr>
            <w:r>
              <w:rPr>
                <w:b/>
                <w:bCs/>
                <w:sz w:val="24"/>
                <w:szCs w:val="24"/>
                <w:lang w:val="ru-RU" w:eastAsia="ru-RU"/>
              </w:rPr>
              <w:t>Наименование</w:t>
            </w:r>
          </w:p>
          <w:p w14:paraId="3A60A4C6">
            <w:pPr>
              <w:widowControl/>
              <w:autoSpaceDE/>
              <w:autoSpaceDN/>
              <w:jc w:val="center"/>
              <w:rPr>
                <w:b/>
                <w:bCs/>
                <w:sz w:val="24"/>
                <w:szCs w:val="24"/>
                <w:lang w:val="ru-RU" w:eastAsia="ru-RU"/>
              </w:rPr>
            </w:pPr>
            <w:r>
              <w:rPr>
                <w:b/>
                <w:bCs/>
                <w:sz w:val="24"/>
                <w:szCs w:val="24"/>
                <w:lang w:val="ru-RU" w:eastAsia="ru-RU"/>
              </w:rPr>
              <w:t>н.п</w:t>
            </w:r>
          </w:p>
        </w:tc>
        <w:tc>
          <w:tcPr>
            <w:tcW w:w="2411" w:type="dxa"/>
            <w:vAlign w:val="center"/>
          </w:tcPr>
          <w:p w14:paraId="1BFF9945">
            <w:pPr>
              <w:widowControl/>
              <w:autoSpaceDE/>
              <w:autoSpaceDN/>
              <w:jc w:val="center"/>
              <w:rPr>
                <w:b/>
                <w:bCs/>
                <w:sz w:val="24"/>
                <w:szCs w:val="24"/>
                <w:lang w:val="ru-RU" w:eastAsia="ru-RU"/>
              </w:rPr>
            </w:pPr>
            <w:r>
              <w:rPr>
                <w:b/>
                <w:bCs/>
                <w:sz w:val="24"/>
                <w:szCs w:val="24"/>
                <w:lang w:val="ru-RU" w:eastAsia="ru-RU"/>
              </w:rPr>
              <w:t>Территория, км</w:t>
            </w:r>
            <w:r>
              <w:rPr>
                <w:b/>
                <w:bCs/>
                <w:sz w:val="24"/>
                <w:szCs w:val="24"/>
                <w:vertAlign w:val="superscript"/>
                <w:lang w:val="ru-RU" w:eastAsia="ru-RU"/>
              </w:rPr>
              <w:t>2</w:t>
            </w:r>
          </w:p>
        </w:tc>
        <w:tc>
          <w:tcPr>
            <w:tcW w:w="2889" w:type="dxa"/>
            <w:shd w:val="clear" w:color="auto" w:fill="auto"/>
            <w:vAlign w:val="center"/>
          </w:tcPr>
          <w:p w14:paraId="530946EB">
            <w:pPr>
              <w:widowControl/>
              <w:autoSpaceDE/>
              <w:autoSpaceDN/>
              <w:jc w:val="center"/>
              <w:rPr>
                <w:b/>
                <w:bCs/>
                <w:sz w:val="24"/>
                <w:szCs w:val="24"/>
                <w:lang w:val="ru-RU" w:eastAsia="ru-RU"/>
              </w:rPr>
            </w:pPr>
            <w:r>
              <w:rPr>
                <w:b/>
                <w:bCs/>
                <w:sz w:val="24"/>
                <w:szCs w:val="24"/>
                <w:lang w:val="ru-RU" w:eastAsia="ru-RU"/>
              </w:rPr>
              <w:t>Численность населения,</w:t>
            </w:r>
          </w:p>
          <w:p w14:paraId="53124B2D">
            <w:pPr>
              <w:widowControl/>
              <w:autoSpaceDE/>
              <w:autoSpaceDN/>
              <w:jc w:val="center"/>
              <w:rPr>
                <w:b/>
                <w:bCs/>
                <w:sz w:val="24"/>
                <w:szCs w:val="24"/>
                <w:lang w:val="ru-RU" w:eastAsia="ru-RU"/>
              </w:rPr>
            </w:pPr>
            <w:r>
              <w:rPr>
                <w:b/>
                <w:bCs/>
                <w:sz w:val="24"/>
                <w:szCs w:val="24"/>
                <w:lang w:val="ru-RU" w:eastAsia="ru-RU"/>
              </w:rPr>
              <w:t>чел.</w:t>
            </w:r>
          </w:p>
        </w:tc>
        <w:tc>
          <w:tcPr>
            <w:tcW w:w="2976" w:type="dxa"/>
            <w:shd w:val="clear" w:color="auto" w:fill="auto"/>
            <w:vAlign w:val="center"/>
          </w:tcPr>
          <w:p w14:paraId="2838BC26">
            <w:pPr>
              <w:widowControl/>
              <w:autoSpaceDE/>
              <w:autoSpaceDN/>
              <w:jc w:val="center"/>
              <w:rPr>
                <w:b/>
                <w:bCs/>
                <w:sz w:val="24"/>
                <w:szCs w:val="24"/>
                <w:lang w:val="ru-RU" w:eastAsia="ru-RU"/>
              </w:rPr>
            </w:pPr>
            <w:r>
              <w:rPr>
                <w:b/>
                <w:bCs/>
                <w:sz w:val="24"/>
                <w:szCs w:val="24"/>
                <w:lang w:val="ru-RU" w:eastAsia="ru-RU"/>
              </w:rPr>
              <w:t>Плотность населения,</w:t>
            </w:r>
          </w:p>
          <w:p w14:paraId="4A9AB84D">
            <w:pPr>
              <w:widowControl/>
              <w:autoSpaceDE/>
              <w:autoSpaceDN/>
              <w:jc w:val="center"/>
              <w:rPr>
                <w:b/>
                <w:bCs/>
                <w:sz w:val="24"/>
                <w:szCs w:val="24"/>
                <w:lang w:val="ru-RU" w:eastAsia="ru-RU"/>
              </w:rPr>
            </w:pPr>
            <w:r>
              <w:rPr>
                <w:b/>
                <w:bCs/>
                <w:sz w:val="24"/>
                <w:szCs w:val="24"/>
                <w:lang w:val="ru-RU" w:eastAsia="ru-RU"/>
              </w:rPr>
              <w:t>чел. на 1 кв. км</w:t>
            </w:r>
          </w:p>
        </w:tc>
      </w:tr>
      <w:tr w14:paraId="4118290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822" w:type="dxa"/>
            <w:vAlign w:val="center"/>
          </w:tcPr>
          <w:p w14:paraId="21DBFE65">
            <w:pPr>
              <w:widowControl/>
              <w:autoSpaceDE/>
              <w:autoSpaceDN/>
              <w:spacing w:line="312" w:lineRule="auto"/>
              <w:ind w:firstLine="34"/>
              <w:jc w:val="center"/>
              <w:rPr>
                <w:sz w:val="20"/>
                <w:szCs w:val="20"/>
                <w:lang w:val="ru-RU" w:eastAsia="ru-RU"/>
              </w:rPr>
            </w:pPr>
            <w:r>
              <w:rPr>
                <w:sz w:val="20"/>
                <w:szCs w:val="20"/>
                <w:lang w:val="ru-RU" w:eastAsia="ru-RU"/>
              </w:rPr>
              <w:t>село Сухарево</w:t>
            </w:r>
          </w:p>
        </w:tc>
        <w:tc>
          <w:tcPr>
            <w:tcW w:w="2411" w:type="dxa"/>
            <w:vAlign w:val="center"/>
          </w:tcPr>
          <w:p w14:paraId="084D27A0">
            <w:pPr>
              <w:widowControl/>
              <w:autoSpaceDE/>
              <w:autoSpaceDN/>
              <w:spacing w:line="312" w:lineRule="auto"/>
              <w:ind w:firstLine="34"/>
              <w:jc w:val="center"/>
              <w:rPr>
                <w:sz w:val="20"/>
                <w:szCs w:val="20"/>
                <w:lang w:val="ru-RU" w:eastAsia="ru-RU"/>
              </w:rPr>
            </w:pPr>
            <w:r>
              <w:rPr>
                <w:sz w:val="20"/>
                <w:szCs w:val="20"/>
                <w:lang w:val="ru-RU" w:eastAsia="ru-RU"/>
              </w:rPr>
              <w:t>0,94</w:t>
            </w:r>
          </w:p>
        </w:tc>
        <w:tc>
          <w:tcPr>
            <w:tcW w:w="2889" w:type="dxa"/>
            <w:shd w:val="clear" w:color="auto" w:fill="auto"/>
            <w:vAlign w:val="center"/>
          </w:tcPr>
          <w:p w14:paraId="129CE63F">
            <w:pPr>
              <w:widowControl/>
              <w:autoSpaceDE/>
              <w:autoSpaceDN/>
              <w:spacing w:line="312" w:lineRule="auto"/>
              <w:ind w:firstLine="34"/>
              <w:jc w:val="center"/>
              <w:rPr>
                <w:sz w:val="20"/>
                <w:szCs w:val="20"/>
                <w:lang w:val="ru-RU" w:eastAsia="ru-RU"/>
              </w:rPr>
            </w:pPr>
            <w:r>
              <w:rPr>
                <w:sz w:val="20"/>
                <w:szCs w:val="20"/>
                <w:lang w:val="ru-RU" w:eastAsia="ru-RU"/>
              </w:rPr>
              <w:t>283</w:t>
            </w:r>
          </w:p>
        </w:tc>
        <w:tc>
          <w:tcPr>
            <w:tcW w:w="2976" w:type="dxa"/>
            <w:shd w:val="clear" w:color="auto" w:fill="auto"/>
            <w:vAlign w:val="center"/>
          </w:tcPr>
          <w:p w14:paraId="671E9434">
            <w:pPr>
              <w:widowControl/>
              <w:autoSpaceDE/>
              <w:autoSpaceDN/>
              <w:spacing w:line="312" w:lineRule="auto"/>
              <w:ind w:firstLine="34"/>
              <w:jc w:val="center"/>
              <w:rPr>
                <w:sz w:val="20"/>
                <w:szCs w:val="20"/>
                <w:lang w:val="ru-RU" w:eastAsia="ru-RU"/>
              </w:rPr>
            </w:pPr>
            <w:r>
              <w:rPr>
                <w:sz w:val="20"/>
                <w:szCs w:val="20"/>
                <w:lang w:val="ru-RU" w:eastAsia="ru-RU"/>
              </w:rPr>
              <w:t>301,06</w:t>
            </w:r>
          </w:p>
        </w:tc>
      </w:tr>
    </w:tbl>
    <w:p w14:paraId="2145C28F">
      <w:pPr>
        <w:widowControl/>
        <w:autoSpaceDE/>
        <w:autoSpaceDN/>
        <w:spacing w:line="276" w:lineRule="auto"/>
        <w:ind w:firstLine="567"/>
        <w:jc w:val="both"/>
        <w:rPr>
          <w:sz w:val="28"/>
          <w:szCs w:val="28"/>
          <w:lang w:val="ru-RU" w:eastAsia="ru-RU"/>
        </w:rPr>
      </w:pPr>
      <w:r>
        <w:rPr>
          <w:sz w:val="28"/>
          <w:szCs w:val="28"/>
          <w:lang w:val="ru-RU" w:eastAsia="ru-RU"/>
        </w:rPr>
        <w:t>На территории села Сухарево проживает 172 человека трудоспособного возраста. Детей в возрасте до 18 лет 40 человек. Старше трудоспособного возраста 71 человек.</w:t>
      </w:r>
    </w:p>
    <w:p w14:paraId="3BECCA76">
      <w:pPr>
        <w:widowControl/>
        <w:autoSpaceDE/>
        <w:autoSpaceDN/>
        <w:spacing w:line="276" w:lineRule="auto"/>
        <w:ind w:firstLine="567"/>
        <w:jc w:val="both"/>
        <w:rPr>
          <w:sz w:val="28"/>
          <w:szCs w:val="28"/>
          <w:lang w:val="ru-RU" w:eastAsia="ru-RU"/>
        </w:rPr>
      </w:pPr>
      <w:r>
        <w:rPr>
          <w:sz w:val="28"/>
          <w:szCs w:val="28"/>
          <w:lang w:val="ru-RU" w:eastAsia="ru-RU"/>
        </w:rPr>
        <w:t>Село Сухарево газифицировано, электрифицировано, а также имеет центральное водоснабжение. Центральный водопровод, протяженностью 13,5 км, обеспечивает холодным водоснабжением население из 4 скважин и 1 башни.</w:t>
      </w:r>
    </w:p>
    <w:p w14:paraId="26581EB9">
      <w:pPr>
        <w:widowControl/>
        <w:autoSpaceDE/>
        <w:autoSpaceDN/>
        <w:spacing w:line="276" w:lineRule="auto"/>
        <w:ind w:firstLine="567"/>
        <w:jc w:val="both"/>
        <w:rPr>
          <w:sz w:val="28"/>
          <w:szCs w:val="28"/>
          <w:lang w:val="ru-RU" w:eastAsia="ru-RU"/>
        </w:rPr>
      </w:pPr>
      <w:r>
        <w:rPr>
          <w:sz w:val="28"/>
          <w:szCs w:val="28"/>
          <w:lang w:val="ru-RU" w:eastAsia="ru-RU"/>
        </w:rPr>
        <w:t xml:space="preserve">Также на территории села находится 1 действующая механическая колонка. Вода в источниках соответствует требованиям СанПиН к питьевой воде. </w:t>
      </w:r>
    </w:p>
    <w:p w14:paraId="51CAB0CA">
      <w:pPr>
        <w:widowControl/>
        <w:autoSpaceDE/>
        <w:autoSpaceDN/>
        <w:spacing w:line="276" w:lineRule="auto"/>
        <w:ind w:firstLine="567"/>
        <w:jc w:val="both"/>
        <w:rPr>
          <w:sz w:val="28"/>
          <w:szCs w:val="28"/>
          <w:lang w:val="ru-RU" w:eastAsia="ru-RU"/>
        </w:rPr>
      </w:pPr>
      <w:r>
        <w:rPr>
          <w:sz w:val="28"/>
          <w:szCs w:val="28"/>
          <w:lang w:val="ru-RU" w:eastAsia="ru-RU"/>
        </w:rPr>
        <w:t>В селе, в основном, одноэтажные деревянные и пеноблочные, обложенные кирпичом строения. Средний физический износ жилых домов составляет 35 %. Особо ветхих и аварийных домов в селе нет.</w:t>
      </w:r>
    </w:p>
    <w:p w14:paraId="5296CA63">
      <w:pPr>
        <w:widowControl/>
        <w:autoSpaceDE/>
        <w:autoSpaceDN/>
        <w:spacing w:line="276" w:lineRule="auto"/>
        <w:ind w:firstLine="567"/>
        <w:jc w:val="both"/>
        <w:rPr>
          <w:sz w:val="28"/>
          <w:szCs w:val="28"/>
          <w:lang w:val="ru-RU" w:eastAsia="ru-RU"/>
        </w:rPr>
      </w:pPr>
      <w:r>
        <w:rPr>
          <w:sz w:val="28"/>
          <w:szCs w:val="28"/>
          <w:lang w:val="ru-RU" w:eastAsia="ru-RU"/>
        </w:rPr>
        <w:t>На территории села находятся объекты розничной торговли - 1 магазин, функционируют учреждения здравоохранения, культуры, дошкольного образования.</w:t>
      </w:r>
    </w:p>
    <w:p w14:paraId="3C9D231F">
      <w:pPr>
        <w:widowControl/>
        <w:autoSpaceDE/>
        <w:autoSpaceDN/>
        <w:spacing w:line="276" w:lineRule="auto"/>
        <w:ind w:firstLine="567"/>
        <w:jc w:val="both"/>
        <w:rPr>
          <w:color w:val="FF0000"/>
          <w:lang w:val="ru-RU"/>
        </w:rPr>
      </w:pPr>
      <w:r>
        <w:rPr>
          <w:sz w:val="28"/>
          <w:szCs w:val="28"/>
          <w:lang w:val="ru-RU" w:eastAsia="ru-RU"/>
        </w:rPr>
        <w:t xml:space="preserve">На территории села отсутствуют градообразующие предприятия. </w:t>
      </w:r>
    </w:p>
    <w:p w14:paraId="59DD392C">
      <w:pPr>
        <w:widowControl/>
        <w:autoSpaceDE/>
        <w:autoSpaceDN/>
        <w:spacing w:line="276" w:lineRule="auto"/>
        <w:ind w:firstLine="567"/>
        <w:jc w:val="both"/>
        <w:rPr>
          <w:sz w:val="28"/>
          <w:szCs w:val="28"/>
          <w:lang w:val="ru-RU" w:eastAsia="ru-RU"/>
        </w:rPr>
      </w:pPr>
    </w:p>
    <w:p w14:paraId="57724309">
      <w:pPr>
        <w:pStyle w:val="3"/>
        <w:numPr>
          <w:ilvl w:val="0"/>
          <w:numId w:val="4"/>
        </w:numPr>
        <w:shd w:val="clear" w:color="auto" w:fill="FFFFFF"/>
        <w:spacing w:before="240"/>
        <w:ind w:left="735" w:hanging="375"/>
        <w:jc w:val="center"/>
        <w:rPr>
          <w:rFonts w:ascii="Times New Roman" w:hAnsi="Times New Roman" w:cs="Times New Roman"/>
          <w:color w:val="auto"/>
          <w:sz w:val="28"/>
          <w:lang w:val="ru-RU"/>
        </w:rPr>
      </w:pPr>
      <w:bookmarkStart w:id="4" w:name="_Toc510191395"/>
      <w:r>
        <w:rPr>
          <w:rFonts w:ascii="Times New Roman" w:hAnsi="Times New Roman" w:cs="Times New Roman"/>
          <w:color w:val="auto"/>
          <w:sz w:val="28"/>
          <w:lang w:val="ru-RU"/>
        </w:rPr>
        <w:t>Анализ состояния объектов коммунальной инфраструктуры</w:t>
      </w:r>
      <w:bookmarkEnd w:id="4"/>
    </w:p>
    <w:p w14:paraId="52084398">
      <w:pPr>
        <w:jc w:val="center"/>
        <w:rPr>
          <w:b/>
          <w:bCs/>
          <w:sz w:val="24"/>
          <w:szCs w:val="24"/>
        </w:rPr>
      </w:pPr>
      <w:r>
        <w:rPr>
          <w:b/>
          <w:bCs/>
          <w:sz w:val="24"/>
          <w:szCs w:val="24"/>
        </w:rPr>
        <w:t>Коммунальная сфера</w:t>
      </w:r>
    </w:p>
    <w:p w14:paraId="0FC93FF5">
      <w:pPr>
        <w:jc w:val="center"/>
        <w:rPr>
          <w:b/>
          <w:bCs/>
          <w:sz w:val="24"/>
          <w:szCs w:val="24"/>
        </w:rPr>
      </w:pPr>
    </w:p>
    <w:p w14:paraId="59AD08F1">
      <w:pPr>
        <w:pStyle w:val="4"/>
        <w:numPr>
          <w:ilvl w:val="2"/>
          <w:numId w:val="5"/>
        </w:numPr>
        <w:shd w:val="clear" w:color="auto" w:fill="FFFFFF"/>
        <w:spacing w:before="40" w:line="317" w:lineRule="exact"/>
        <w:ind w:left="1440" w:hanging="720"/>
        <w:rPr>
          <w:rFonts w:ascii="Times New Roman" w:hAnsi="Times New Roman" w:eastAsia="Times New Roman"/>
          <w:color w:val="auto"/>
          <w:sz w:val="24"/>
          <w:szCs w:val="24"/>
          <w:lang w:val="ru-RU" w:eastAsia="ru-RU"/>
        </w:rPr>
      </w:pPr>
      <w:r>
        <w:rPr>
          <w:rFonts w:ascii="Times New Roman" w:hAnsi="Times New Roman" w:eastAsia="Times New Roman"/>
          <w:color w:val="auto"/>
          <w:sz w:val="24"/>
          <w:szCs w:val="24"/>
          <w:lang w:val="ru-RU" w:eastAsia="ru-RU"/>
        </w:rPr>
        <w:t>Теплоснабжение</w:t>
      </w:r>
    </w:p>
    <w:p w14:paraId="61476636">
      <w:pPr>
        <w:widowControl/>
        <w:autoSpaceDE/>
        <w:autoSpaceDN/>
        <w:spacing w:line="276" w:lineRule="auto"/>
        <w:ind w:firstLine="567"/>
        <w:jc w:val="both"/>
        <w:rPr>
          <w:sz w:val="28"/>
          <w:szCs w:val="28"/>
          <w:lang w:val="ru-RU" w:eastAsia="ru-RU"/>
        </w:rPr>
      </w:pPr>
      <w:r>
        <w:rPr>
          <w:sz w:val="28"/>
          <w:szCs w:val="28"/>
          <w:lang w:val="ru-RU" w:eastAsia="ru-RU"/>
        </w:rPr>
        <w:t xml:space="preserve">Центрального теплоснабжения в с. Сухарево нет. </w:t>
      </w:r>
    </w:p>
    <w:p w14:paraId="53CA39C3">
      <w:pPr>
        <w:pStyle w:val="4"/>
        <w:numPr>
          <w:ilvl w:val="2"/>
          <w:numId w:val="5"/>
        </w:numPr>
        <w:shd w:val="clear" w:color="auto" w:fill="FFFFFF"/>
        <w:spacing w:before="40" w:line="317" w:lineRule="exact"/>
        <w:ind w:left="1440" w:hanging="720"/>
        <w:rPr>
          <w:rFonts w:ascii="Times New Roman" w:hAnsi="Times New Roman" w:eastAsia="Times New Roman"/>
          <w:color w:val="auto"/>
          <w:sz w:val="24"/>
          <w:szCs w:val="24"/>
          <w:lang w:val="ru-RU" w:eastAsia="ru-RU"/>
        </w:rPr>
      </w:pPr>
      <w:r>
        <w:rPr>
          <w:rFonts w:ascii="Times New Roman" w:hAnsi="Times New Roman" w:eastAsia="Times New Roman"/>
          <w:color w:val="auto"/>
          <w:sz w:val="24"/>
          <w:szCs w:val="24"/>
          <w:lang w:val="ru-RU" w:eastAsia="ru-RU"/>
        </w:rPr>
        <w:t>Водоснабжение</w:t>
      </w:r>
    </w:p>
    <w:p w14:paraId="2E1A53DE">
      <w:pPr>
        <w:widowControl/>
        <w:autoSpaceDE/>
        <w:autoSpaceDN/>
        <w:spacing w:line="276" w:lineRule="auto"/>
        <w:ind w:firstLine="567"/>
        <w:jc w:val="both"/>
        <w:rPr>
          <w:sz w:val="28"/>
          <w:szCs w:val="28"/>
          <w:lang w:val="ru-RU" w:eastAsia="ru-RU"/>
        </w:rPr>
      </w:pPr>
      <w:r>
        <w:rPr>
          <w:sz w:val="28"/>
          <w:szCs w:val="28"/>
          <w:lang w:val="ru-RU" w:eastAsia="ru-RU"/>
        </w:rPr>
        <w:t>Для хозяйственно-питьевого водоснабжения с. Сухарево в качестве источников водоснабжения используются артезианские скважины (подземные воды), расположенные на территории округа. Водоснабжение, как отрасль, играет огромную роль в обеспечении жизнедеятельности населения и требует целенаправленных мероприятий по развитию надёжной системы хозяйственно-питьевого водоснабжения.</w:t>
      </w:r>
    </w:p>
    <w:p w14:paraId="140304C1">
      <w:pPr>
        <w:widowControl/>
        <w:autoSpaceDE/>
        <w:autoSpaceDN/>
        <w:spacing w:line="276" w:lineRule="auto"/>
        <w:ind w:firstLine="567"/>
        <w:jc w:val="both"/>
        <w:rPr>
          <w:sz w:val="28"/>
          <w:szCs w:val="28"/>
          <w:lang w:val="ru-RU" w:eastAsia="ru-RU"/>
        </w:rPr>
      </w:pPr>
      <w:r>
        <w:rPr>
          <w:sz w:val="28"/>
          <w:szCs w:val="28"/>
          <w:lang w:val="ru-RU" w:eastAsia="ru-RU"/>
        </w:rPr>
        <w:t>Эксплуатацию систем водоснабжения и водоотведения на территории Валуйского муниципального округа осуществляет ПП «Валуйский район» филиала «Восточный» ГУП «Белоблводоканал».</w:t>
      </w:r>
    </w:p>
    <w:p w14:paraId="41163295">
      <w:pPr>
        <w:widowControl/>
        <w:autoSpaceDE/>
        <w:autoSpaceDN/>
        <w:spacing w:line="276" w:lineRule="auto"/>
        <w:ind w:firstLine="567"/>
        <w:jc w:val="both"/>
        <w:rPr>
          <w:sz w:val="28"/>
          <w:szCs w:val="28"/>
          <w:lang w:val="ru-RU" w:eastAsia="ru-RU"/>
        </w:rPr>
      </w:pPr>
      <w:r>
        <w:rPr>
          <w:sz w:val="28"/>
          <w:szCs w:val="28"/>
          <w:lang w:val="ru-RU" w:eastAsia="ru-RU"/>
        </w:rPr>
        <w:t>Износ основных фондов составляет в среднем для сетей 70%, а также в связи с повышением требований к водоводам и качеству хозяйственно-питьевой воды, усовершенствованием технологического оборудования необходимо провести реконструкцию систем и сооружений.</w:t>
      </w:r>
    </w:p>
    <w:p w14:paraId="5537C26E">
      <w:pPr>
        <w:widowControl/>
        <w:autoSpaceDE/>
        <w:autoSpaceDN/>
        <w:spacing w:line="276" w:lineRule="auto"/>
        <w:ind w:firstLine="567"/>
        <w:jc w:val="both"/>
        <w:rPr>
          <w:sz w:val="28"/>
          <w:szCs w:val="28"/>
          <w:lang w:val="ru-RU" w:eastAsia="ru-RU"/>
        </w:rPr>
      </w:pPr>
      <w:r>
        <w:rPr>
          <w:sz w:val="28"/>
          <w:szCs w:val="28"/>
          <w:lang w:val="ru-RU" w:eastAsia="ru-RU"/>
        </w:rPr>
        <w:t>Наружное пожаротушение предусматривается из подземных пожарных гидрантов, установленных на сетях.</w:t>
      </w:r>
    </w:p>
    <w:p w14:paraId="676B9543">
      <w:pPr>
        <w:widowControl/>
        <w:autoSpaceDE/>
        <w:autoSpaceDN/>
        <w:spacing w:line="276" w:lineRule="auto"/>
        <w:ind w:firstLine="567"/>
        <w:jc w:val="both"/>
        <w:rPr>
          <w:sz w:val="28"/>
          <w:szCs w:val="28"/>
          <w:lang w:val="ru-RU" w:eastAsia="ru-RU"/>
        </w:rPr>
      </w:pPr>
      <w:r>
        <w:rPr>
          <w:sz w:val="28"/>
          <w:szCs w:val="28"/>
          <w:lang w:val="ru-RU" w:eastAsia="ru-RU"/>
        </w:rPr>
        <w:t>Обеззараживание воды перед подачей в сеть не производится.</w:t>
      </w:r>
    </w:p>
    <w:p w14:paraId="3511A7B3">
      <w:pPr>
        <w:widowControl/>
        <w:autoSpaceDE/>
        <w:autoSpaceDN/>
        <w:spacing w:line="276" w:lineRule="auto"/>
        <w:ind w:firstLine="567"/>
        <w:jc w:val="both"/>
        <w:rPr>
          <w:sz w:val="28"/>
          <w:szCs w:val="28"/>
          <w:lang w:val="ru-RU" w:eastAsia="ru-RU"/>
        </w:rPr>
      </w:pPr>
      <w:r>
        <w:rPr>
          <w:sz w:val="28"/>
          <w:szCs w:val="28"/>
          <w:lang w:val="ru-RU" w:eastAsia="ru-RU"/>
        </w:rPr>
        <w:t>Вода соответствует требованиям СанПиН 2.1.4.1074-01 согласно протоколам лабораторных исследований.</w:t>
      </w:r>
    </w:p>
    <w:p w14:paraId="77E91B45">
      <w:pPr>
        <w:rPr>
          <w:color w:val="00B050"/>
          <w:sz w:val="20"/>
          <w:szCs w:val="20"/>
          <w:shd w:val="clear" w:color="auto" w:fill="FFFFFF"/>
          <w:lang w:val="ru-RU"/>
        </w:rPr>
      </w:pPr>
    </w:p>
    <w:p w14:paraId="6A93615F">
      <w:pPr>
        <w:widowControl/>
        <w:autoSpaceDE/>
        <w:autoSpaceDN/>
        <w:spacing w:line="276" w:lineRule="auto"/>
        <w:ind w:firstLine="567"/>
        <w:jc w:val="center"/>
        <w:rPr>
          <w:b/>
          <w:sz w:val="24"/>
          <w:szCs w:val="24"/>
          <w:lang w:val="ru-RU"/>
        </w:rPr>
      </w:pPr>
      <w:r>
        <w:rPr>
          <w:b/>
          <w:sz w:val="24"/>
          <w:szCs w:val="24"/>
          <w:lang w:val="ru-RU"/>
        </w:rPr>
        <w:t>Состояние системы водоснабжения по населенным пунктам.</w:t>
      </w:r>
    </w:p>
    <w:tbl>
      <w:tblPr>
        <w:tblStyle w:val="11"/>
        <w:tblW w:w="10315" w:type="dxa"/>
        <w:tblInd w:w="-10" w:type="dxa"/>
        <w:tblLayout w:type="fixed"/>
        <w:tblCellMar>
          <w:top w:w="0" w:type="dxa"/>
          <w:left w:w="108" w:type="dxa"/>
          <w:bottom w:w="0" w:type="dxa"/>
          <w:right w:w="108" w:type="dxa"/>
        </w:tblCellMar>
      </w:tblPr>
      <w:tblGrid>
        <w:gridCol w:w="2670"/>
        <w:gridCol w:w="709"/>
        <w:gridCol w:w="708"/>
        <w:gridCol w:w="709"/>
        <w:gridCol w:w="567"/>
        <w:gridCol w:w="992"/>
        <w:gridCol w:w="851"/>
        <w:gridCol w:w="850"/>
        <w:gridCol w:w="709"/>
        <w:gridCol w:w="851"/>
        <w:gridCol w:w="699"/>
      </w:tblGrid>
      <w:tr w14:paraId="0CC4385C">
        <w:tblPrEx>
          <w:tblCellMar>
            <w:top w:w="0" w:type="dxa"/>
            <w:left w:w="108" w:type="dxa"/>
            <w:bottom w:w="0" w:type="dxa"/>
            <w:right w:w="108" w:type="dxa"/>
          </w:tblCellMar>
        </w:tblPrEx>
        <w:trPr>
          <w:trHeight w:val="319" w:hRule="atLeast"/>
        </w:trPr>
        <w:tc>
          <w:tcPr>
            <w:tcW w:w="2670" w:type="dxa"/>
            <w:vMerge w:val="restart"/>
            <w:tcBorders>
              <w:top w:val="single" w:color="000000" w:sz="4" w:space="0"/>
              <w:left w:val="single" w:color="000000" w:sz="4" w:space="0"/>
              <w:bottom w:val="single" w:color="000000" w:sz="4" w:space="0"/>
            </w:tcBorders>
            <w:shd w:val="clear" w:color="auto" w:fill="FFFFFF"/>
            <w:vAlign w:val="center"/>
          </w:tcPr>
          <w:p w14:paraId="01390597">
            <w:pPr>
              <w:jc w:val="center"/>
              <w:rPr>
                <w:b/>
                <w:color w:val="000000"/>
                <w:sz w:val="20"/>
                <w:szCs w:val="20"/>
                <w:shd w:val="clear" w:color="auto" w:fill="FFFFFF"/>
              </w:rPr>
            </w:pPr>
            <w:r>
              <w:rPr>
                <w:b/>
                <w:color w:val="000000"/>
                <w:sz w:val="20"/>
                <w:szCs w:val="20"/>
                <w:shd w:val="clear" w:color="auto" w:fill="FFFFFF"/>
              </w:rPr>
              <w:t>Наименование</w:t>
            </w:r>
          </w:p>
        </w:tc>
        <w:tc>
          <w:tcPr>
            <w:tcW w:w="2693" w:type="dxa"/>
            <w:gridSpan w:val="4"/>
            <w:tcBorders>
              <w:top w:val="single" w:color="000000" w:sz="4" w:space="0"/>
              <w:left w:val="single" w:color="000000" w:sz="4" w:space="0"/>
              <w:bottom w:val="single" w:color="000000" w:sz="4" w:space="0"/>
            </w:tcBorders>
            <w:shd w:val="clear" w:color="auto" w:fill="FFFFFF"/>
            <w:vAlign w:val="center"/>
          </w:tcPr>
          <w:p w14:paraId="63B41756">
            <w:pPr>
              <w:jc w:val="center"/>
              <w:rPr>
                <w:b/>
                <w:color w:val="000000"/>
                <w:sz w:val="20"/>
                <w:szCs w:val="20"/>
                <w:shd w:val="clear" w:color="auto" w:fill="FFFFFF"/>
              </w:rPr>
            </w:pPr>
            <w:r>
              <w:rPr>
                <w:b/>
                <w:color w:val="000000"/>
                <w:sz w:val="20"/>
                <w:szCs w:val="20"/>
                <w:shd w:val="clear" w:color="auto" w:fill="FFFFFF"/>
              </w:rPr>
              <w:t>Количество водонапорных башен</w:t>
            </w:r>
          </w:p>
        </w:tc>
        <w:tc>
          <w:tcPr>
            <w:tcW w:w="4952" w:type="dxa"/>
            <w:gridSpan w:val="6"/>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51A89222">
            <w:pPr>
              <w:tabs>
                <w:tab w:val="left" w:pos="-660"/>
                <w:tab w:val="left" w:pos="1760"/>
              </w:tabs>
              <w:ind w:right="97"/>
              <w:jc w:val="center"/>
              <w:rPr>
                <w:b/>
                <w:sz w:val="20"/>
                <w:szCs w:val="20"/>
              </w:rPr>
            </w:pPr>
            <w:r>
              <w:rPr>
                <w:b/>
                <w:color w:val="000000"/>
                <w:sz w:val="20"/>
                <w:szCs w:val="20"/>
                <w:shd w:val="clear" w:color="auto" w:fill="FFFFFF"/>
              </w:rPr>
              <w:t>Наличие на водопроводе, шт.</w:t>
            </w:r>
          </w:p>
        </w:tc>
      </w:tr>
      <w:tr w14:paraId="5EB5B398">
        <w:tblPrEx>
          <w:tblCellMar>
            <w:top w:w="0" w:type="dxa"/>
            <w:left w:w="108" w:type="dxa"/>
            <w:bottom w:w="0" w:type="dxa"/>
            <w:right w:w="108" w:type="dxa"/>
          </w:tblCellMar>
        </w:tblPrEx>
        <w:trPr>
          <w:trHeight w:val="180" w:hRule="atLeast"/>
        </w:trPr>
        <w:tc>
          <w:tcPr>
            <w:tcW w:w="2670" w:type="dxa"/>
            <w:vMerge w:val="continue"/>
            <w:tcBorders>
              <w:top w:val="single" w:color="000000" w:sz="4" w:space="0"/>
              <w:left w:val="single" w:color="000000" w:sz="4" w:space="0"/>
              <w:bottom w:val="single" w:color="000000" w:sz="4" w:space="0"/>
            </w:tcBorders>
            <w:shd w:val="clear" w:color="auto" w:fill="FFFFFF"/>
            <w:vAlign w:val="center"/>
          </w:tcPr>
          <w:p w14:paraId="73540A01">
            <w:pPr>
              <w:snapToGrid w:val="0"/>
              <w:rPr>
                <w:b/>
                <w:color w:val="000000"/>
                <w:sz w:val="20"/>
                <w:szCs w:val="20"/>
                <w:shd w:val="clear" w:color="auto" w:fill="FFFFFF"/>
              </w:rPr>
            </w:pPr>
          </w:p>
        </w:tc>
        <w:tc>
          <w:tcPr>
            <w:tcW w:w="709" w:type="dxa"/>
            <w:vMerge w:val="restart"/>
            <w:tcBorders>
              <w:top w:val="single" w:color="000000" w:sz="4" w:space="0"/>
              <w:left w:val="single" w:color="000000" w:sz="4" w:space="0"/>
              <w:bottom w:val="single" w:color="000000" w:sz="4" w:space="0"/>
            </w:tcBorders>
            <w:shd w:val="clear" w:color="auto" w:fill="FFFFFF"/>
            <w:vAlign w:val="center"/>
          </w:tcPr>
          <w:p w14:paraId="0628555B">
            <w:pPr>
              <w:rPr>
                <w:b/>
                <w:color w:val="000000"/>
                <w:sz w:val="20"/>
                <w:szCs w:val="20"/>
                <w:shd w:val="clear" w:color="auto" w:fill="FFFFFF"/>
              </w:rPr>
            </w:pPr>
            <w:r>
              <w:rPr>
                <w:b/>
                <w:color w:val="000000"/>
                <w:sz w:val="20"/>
                <w:szCs w:val="20"/>
                <w:shd w:val="clear" w:color="auto" w:fill="FFFFFF"/>
              </w:rPr>
              <w:t>Всего</w:t>
            </w:r>
          </w:p>
        </w:tc>
        <w:tc>
          <w:tcPr>
            <w:tcW w:w="1984" w:type="dxa"/>
            <w:gridSpan w:val="3"/>
            <w:tcBorders>
              <w:top w:val="single" w:color="000000" w:sz="4" w:space="0"/>
              <w:left w:val="single" w:color="000000" w:sz="4" w:space="0"/>
              <w:bottom w:val="single" w:color="000000" w:sz="4" w:space="0"/>
            </w:tcBorders>
            <w:shd w:val="clear" w:color="auto" w:fill="FFFFFF"/>
            <w:vAlign w:val="center"/>
          </w:tcPr>
          <w:p w14:paraId="1729617C">
            <w:pPr>
              <w:jc w:val="center"/>
              <w:rPr>
                <w:b/>
                <w:color w:val="000000"/>
                <w:sz w:val="20"/>
                <w:szCs w:val="20"/>
                <w:shd w:val="clear" w:color="auto" w:fill="FFFFFF"/>
              </w:rPr>
            </w:pPr>
            <w:r>
              <w:rPr>
                <w:b/>
                <w:color w:val="000000"/>
                <w:sz w:val="20"/>
                <w:szCs w:val="20"/>
                <w:shd w:val="clear" w:color="auto" w:fill="FFFFFF"/>
              </w:rPr>
              <w:t>в том числе</w:t>
            </w:r>
          </w:p>
        </w:tc>
        <w:tc>
          <w:tcPr>
            <w:tcW w:w="4952" w:type="dxa"/>
            <w:gridSpan w:val="6"/>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35C5DB8B">
            <w:pPr>
              <w:tabs>
                <w:tab w:val="left" w:pos="-660"/>
                <w:tab w:val="left" w:pos="660"/>
              </w:tabs>
              <w:snapToGrid w:val="0"/>
              <w:ind w:right="759"/>
              <w:rPr>
                <w:b/>
                <w:color w:val="000000"/>
                <w:sz w:val="20"/>
                <w:szCs w:val="20"/>
                <w:shd w:val="clear" w:color="auto" w:fill="FFFFFF"/>
              </w:rPr>
            </w:pPr>
          </w:p>
        </w:tc>
      </w:tr>
      <w:tr w14:paraId="3B337F41">
        <w:tblPrEx>
          <w:tblCellMar>
            <w:top w:w="0" w:type="dxa"/>
            <w:left w:w="108" w:type="dxa"/>
            <w:bottom w:w="0" w:type="dxa"/>
            <w:right w:w="108" w:type="dxa"/>
          </w:tblCellMar>
        </w:tblPrEx>
        <w:trPr>
          <w:trHeight w:val="499" w:hRule="atLeast"/>
        </w:trPr>
        <w:tc>
          <w:tcPr>
            <w:tcW w:w="2670" w:type="dxa"/>
            <w:vMerge w:val="continue"/>
            <w:tcBorders>
              <w:top w:val="single" w:color="000000" w:sz="4" w:space="0"/>
              <w:left w:val="single" w:color="000000" w:sz="4" w:space="0"/>
              <w:bottom w:val="single" w:color="000000" w:sz="4" w:space="0"/>
            </w:tcBorders>
            <w:shd w:val="clear" w:color="auto" w:fill="FFFFFF"/>
            <w:vAlign w:val="center"/>
          </w:tcPr>
          <w:p w14:paraId="0CBAD92B">
            <w:pPr>
              <w:snapToGrid w:val="0"/>
              <w:rPr>
                <w:b/>
                <w:color w:val="000000"/>
                <w:sz w:val="20"/>
                <w:szCs w:val="20"/>
                <w:shd w:val="clear" w:color="auto" w:fill="FFFFFF"/>
              </w:rPr>
            </w:pPr>
          </w:p>
        </w:tc>
        <w:tc>
          <w:tcPr>
            <w:tcW w:w="709" w:type="dxa"/>
            <w:vMerge w:val="continue"/>
            <w:tcBorders>
              <w:top w:val="single" w:color="000000" w:sz="4" w:space="0"/>
              <w:left w:val="single" w:color="000000" w:sz="4" w:space="0"/>
              <w:bottom w:val="single" w:color="000000" w:sz="4" w:space="0"/>
            </w:tcBorders>
            <w:shd w:val="clear" w:color="auto" w:fill="FFFFFF"/>
            <w:vAlign w:val="center"/>
          </w:tcPr>
          <w:p w14:paraId="7BC42EFF">
            <w:pPr>
              <w:snapToGrid w:val="0"/>
              <w:rPr>
                <w:b/>
                <w:color w:val="000000"/>
                <w:sz w:val="20"/>
                <w:szCs w:val="20"/>
                <w:shd w:val="clear" w:color="auto" w:fill="FFFFFF"/>
              </w:rPr>
            </w:pPr>
          </w:p>
        </w:tc>
        <w:tc>
          <w:tcPr>
            <w:tcW w:w="708" w:type="dxa"/>
            <w:tcBorders>
              <w:top w:val="single" w:color="000000" w:sz="4" w:space="0"/>
              <w:left w:val="single" w:color="000000" w:sz="4" w:space="0"/>
              <w:bottom w:val="single" w:color="000000" w:sz="4" w:space="0"/>
            </w:tcBorders>
            <w:shd w:val="clear" w:color="auto" w:fill="FFFFFF"/>
            <w:vAlign w:val="center"/>
          </w:tcPr>
          <w:p w14:paraId="39176776">
            <w:pPr>
              <w:rPr>
                <w:b/>
                <w:color w:val="000000"/>
                <w:sz w:val="20"/>
                <w:szCs w:val="20"/>
                <w:shd w:val="clear" w:color="auto" w:fill="FFFFFF"/>
              </w:rPr>
            </w:pPr>
            <w:r>
              <w:rPr>
                <w:b/>
                <w:color w:val="000000"/>
                <w:sz w:val="20"/>
                <w:szCs w:val="20"/>
                <w:shd w:val="clear" w:color="auto" w:fill="FFFFFF"/>
                <w:lang w:val="ru-RU"/>
              </w:rPr>
              <w:t>государственные</w:t>
            </w:r>
          </w:p>
        </w:tc>
        <w:tc>
          <w:tcPr>
            <w:tcW w:w="709" w:type="dxa"/>
            <w:tcBorders>
              <w:top w:val="single" w:color="000000" w:sz="4" w:space="0"/>
              <w:left w:val="single" w:color="000000" w:sz="4" w:space="0"/>
              <w:bottom w:val="single" w:color="000000" w:sz="4" w:space="0"/>
            </w:tcBorders>
            <w:shd w:val="clear" w:color="auto" w:fill="FFFFFF"/>
            <w:vAlign w:val="center"/>
          </w:tcPr>
          <w:p w14:paraId="76D60CC4">
            <w:pPr>
              <w:rPr>
                <w:b/>
                <w:color w:val="000000"/>
                <w:sz w:val="20"/>
                <w:szCs w:val="20"/>
                <w:shd w:val="clear" w:color="auto" w:fill="FFFFFF"/>
              </w:rPr>
            </w:pPr>
            <w:r>
              <w:rPr>
                <w:b/>
                <w:color w:val="000000"/>
                <w:sz w:val="20"/>
                <w:szCs w:val="20"/>
                <w:shd w:val="clear" w:color="auto" w:fill="FFFFFF"/>
              </w:rPr>
              <w:t>ведом-ств.</w:t>
            </w:r>
          </w:p>
        </w:tc>
        <w:tc>
          <w:tcPr>
            <w:tcW w:w="567" w:type="dxa"/>
            <w:tcBorders>
              <w:top w:val="single" w:color="000000" w:sz="4" w:space="0"/>
              <w:left w:val="single" w:color="000000" w:sz="4" w:space="0"/>
              <w:bottom w:val="single" w:color="000000" w:sz="4" w:space="0"/>
            </w:tcBorders>
            <w:shd w:val="clear" w:color="auto" w:fill="FFFFFF"/>
            <w:vAlign w:val="center"/>
          </w:tcPr>
          <w:p w14:paraId="687AF94F">
            <w:pPr>
              <w:rPr>
                <w:b/>
                <w:color w:val="000000"/>
                <w:sz w:val="20"/>
                <w:szCs w:val="20"/>
                <w:shd w:val="clear" w:color="auto" w:fill="FFFFFF"/>
                <w:lang w:val="ru-RU"/>
              </w:rPr>
            </w:pPr>
            <w:r>
              <w:rPr>
                <w:b/>
                <w:color w:val="000000"/>
                <w:sz w:val="20"/>
                <w:szCs w:val="20"/>
                <w:shd w:val="clear" w:color="auto" w:fill="FFFFFF"/>
              </w:rPr>
              <w:t>с/х снабж.</w:t>
            </w:r>
          </w:p>
        </w:tc>
        <w:tc>
          <w:tcPr>
            <w:tcW w:w="2693" w:type="dxa"/>
            <w:gridSpan w:val="3"/>
            <w:tcBorders>
              <w:top w:val="single" w:color="000000" w:sz="4" w:space="0"/>
              <w:left w:val="single" w:color="000000" w:sz="4" w:space="0"/>
              <w:bottom w:val="single" w:color="000000" w:sz="4" w:space="0"/>
            </w:tcBorders>
            <w:shd w:val="clear" w:color="auto" w:fill="FFFFFF"/>
            <w:vAlign w:val="center"/>
          </w:tcPr>
          <w:p w14:paraId="0DF64966">
            <w:pPr>
              <w:rPr>
                <w:b/>
                <w:color w:val="000000"/>
                <w:sz w:val="20"/>
                <w:szCs w:val="20"/>
                <w:shd w:val="clear" w:color="auto" w:fill="FFFFFF"/>
              </w:rPr>
            </w:pPr>
            <w:r>
              <w:rPr>
                <w:b/>
                <w:color w:val="000000"/>
                <w:sz w:val="20"/>
                <w:szCs w:val="20"/>
                <w:shd w:val="clear" w:color="auto" w:fill="FFFFFF"/>
                <w:lang w:val="ru-RU"/>
              </w:rPr>
              <w:t>государственные</w:t>
            </w:r>
          </w:p>
        </w:tc>
        <w:tc>
          <w:tcPr>
            <w:tcW w:w="709" w:type="dxa"/>
            <w:tcBorders>
              <w:top w:val="single" w:color="000000" w:sz="4" w:space="0"/>
              <w:left w:val="single" w:color="000000" w:sz="4" w:space="0"/>
              <w:bottom w:val="single" w:color="000000" w:sz="4" w:space="0"/>
            </w:tcBorders>
            <w:shd w:val="clear" w:color="auto" w:fill="FFFFFF"/>
            <w:vAlign w:val="center"/>
          </w:tcPr>
          <w:p w14:paraId="20162C6E">
            <w:pPr>
              <w:rPr>
                <w:b/>
                <w:color w:val="000000"/>
                <w:sz w:val="20"/>
                <w:szCs w:val="20"/>
                <w:shd w:val="clear" w:color="auto" w:fill="FFFFFF"/>
              </w:rPr>
            </w:pPr>
            <w:r>
              <w:rPr>
                <w:b/>
                <w:color w:val="000000"/>
                <w:sz w:val="20"/>
                <w:szCs w:val="20"/>
                <w:shd w:val="clear" w:color="auto" w:fill="FFFFFF"/>
              </w:rPr>
              <w:t>колод-цев</w:t>
            </w:r>
          </w:p>
        </w:tc>
        <w:tc>
          <w:tcPr>
            <w:tcW w:w="851" w:type="dxa"/>
            <w:tcBorders>
              <w:top w:val="single" w:color="000000" w:sz="4" w:space="0"/>
              <w:left w:val="single" w:color="000000" w:sz="4" w:space="0"/>
              <w:bottom w:val="single" w:color="000000" w:sz="4" w:space="0"/>
            </w:tcBorders>
            <w:shd w:val="clear" w:color="auto" w:fill="FFFFFF"/>
            <w:vAlign w:val="center"/>
          </w:tcPr>
          <w:p w14:paraId="254936A1">
            <w:pPr>
              <w:rPr>
                <w:b/>
                <w:color w:val="000000"/>
                <w:sz w:val="20"/>
                <w:szCs w:val="20"/>
                <w:shd w:val="clear" w:color="auto" w:fill="FFFFFF"/>
              </w:rPr>
            </w:pPr>
            <w:r>
              <w:rPr>
                <w:b/>
                <w:color w:val="000000"/>
                <w:sz w:val="20"/>
                <w:szCs w:val="20"/>
                <w:shd w:val="clear" w:color="auto" w:fill="FFFFFF"/>
              </w:rPr>
              <w:t>водоразборных колонок</w:t>
            </w:r>
          </w:p>
        </w:tc>
        <w:tc>
          <w:tcPr>
            <w:tcW w:w="699" w:type="dxa"/>
            <w:tcBorders>
              <w:top w:val="single" w:color="000000" w:sz="4" w:space="0"/>
              <w:left w:val="single" w:color="000000" w:sz="4" w:space="0"/>
              <w:bottom w:val="single" w:color="000000" w:sz="4" w:space="0"/>
              <w:right w:val="single" w:color="000000" w:sz="4" w:space="0"/>
            </w:tcBorders>
            <w:shd w:val="clear" w:color="auto" w:fill="FFFFFF"/>
            <w:vAlign w:val="center"/>
          </w:tcPr>
          <w:p w14:paraId="10EB7A21">
            <w:pPr>
              <w:rPr>
                <w:b/>
                <w:sz w:val="20"/>
                <w:szCs w:val="20"/>
              </w:rPr>
            </w:pPr>
            <w:r>
              <w:rPr>
                <w:b/>
                <w:color w:val="000000"/>
                <w:sz w:val="20"/>
                <w:szCs w:val="20"/>
                <w:shd w:val="clear" w:color="auto" w:fill="FFFFFF"/>
              </w:rPr>
              <w:t>пожар-ных гидр.</w:t>
            </w:r>
          </w:p>
        </w:tc>
      </w:tr>
      <w:tr w14:paraId="194B35E7">
        <w:tblPrEx>
          <w:tblCellMar>
            <w:top w:w="0" w:type="dxa"/>
            <w:left w:w="108" w:type="dxa"/>
            <w:bottom w:w="0" w:type="dxa"/>
            <w:right w:w="108" w:type="dxa"/>
          </w:tblCellMar>
        </w:tblPrEx>
        <w:trPr>
          <w:trHeight w:val="199" w:hRule="atLeast"/>
        </w:trPr>
        <w:tc>
          <w:tcPr>
            <w:tcW w:w="2670" w:type="dxa"/>
            <w:tcBorders>
              <w:top w:val="single" w:color="000000" w:sz="4" w:space="0"/>
              <w:left w:val="single" w:color="000000" w:sz="4" w:space="0"/>
              <w:bottom w:val="single" w:color="000000" w:sz="4" w:space="0"/>
            </w:tcBorders>
            <w:shd w:val="clear" w:color="auto" w:fill="FFFFFF"/>
            <w:vAlign w:val="center"/>
          </w:tcPr>
          <w:p w14:paraId="021DC9D7">
            <w:pPr>
              <w:rPr>
                <w:sz w:val="20"/>
                <w:szCs w:val="20"/>
                <w:shd w:val="clear" w:color="auto" w:fill="FFFFFF"/>
                <w:lang w:val="ru-RU"/>
              </w:rPr>
            </w:pPr>
            <w:r>
              <w:rPr>
                <w:sz w:val="20"/>
                <w:szCs w:val="20"/>
                <w:shd w:val="clear" w:color="auto" w:fill="FFFFFF"/>
              </w:rPr>
              <w:t>село Сухарево</w:t>
            </w:r>
          </w:p>
        </w:tc>
        <w:tc>
          <w:tcPr>
            <w:tcW w:w="709" w:type="dxa"/>
            <w:tcBorders>
              <w:top w:val="single" w:color="000000" w:sz="4" w:space="0"/>
              <w:left w:val="single" w:color="000000" w:sz="4" w:space="0"/>
              <w:bottom w:val="single" w:color="000000" w:sz="4" w:space="0"/>
            </w:tcBorders>
            <w:shd w:val="clear" w:color="auto" w:fill="FFFFFF"/>
            <w:vAlign w:val="bottom"/>
          </w:tcPr>
          <w:p w14:paraId="7A0CBFD2">
            <w:pPr>
              <w:rPr>
                <w:sz w:val="20"/>
                <w:szCs w:val="20"/>
                <w:shd w:val="clear" w:color="auto" w:fill="FFFFFF"/>
              </w:rPr>
            </w:pPr>
            <w:r>
              <w:rPr>
                <w:sz w:val="20"/>
                <w:szCs w:val="20"/>
                <w:shd w:val="clear" w:color="auto" w:fill="FFFFFF"/>
                <w:lang w:val="ru-RU"/>
              </w:rPr>
              <w:t>1</w:t>
            </w:r>
          </w:p>
        </w:tc>
        <w:tc>
          <w:tcPr>
            <w:tcW w:w="708" w:type="dxa"/>
            <w:tcBorders>
              <w:top w:val="single" w:color="000000" w:sz="4" w:space="0"/>
              <w:left w:val="single" w:color="000000" w:sz="4" w:space="0"/>
              <w:bottom w:val="single" w:color="000000" w:sz="4" w:space="0"/>
            </w:tcBorders>
            <w:shd w:val="clear" w:color="auto" w:fill="FFFFFF"/>
            <w:vAlign w:val="bottom"/>
          </w:tcPr>
          <w:p w14:paraId="3B6F22EF">
            <w:pPr>
              <w:rPr>
                <w:sz w:val="20"/>
                <w:szCs w:val="20"/>
                <w:shd w:val="clear" w:color="auto" w:fill="FFFFFF"/>
              </w:rPr>
            </w:pPr>
            <w:r>
              <w:rPr>
                <w:sz w:val="20"/>
                <w:szCs w:val="20"/>
                <w:shd w:val="clear" w:color="auto" w:fill="FFFFFF"/>
              </w:rPr>
              <w:t>0</w:t>
            </w:r>
          </w:p>
        </w:tc>
        <w:tc>
          <w:tcPr>
            <w:tcW w:w="709" w:type="dxa"/>
            <w:tcBorders>
              <w:top w:val="single" w:color="000000" w:sz="4" w:space="0"/>
              <w:left w:val="single" w:color="000000" w:sz="4" w:space="0"/>
              <w:bottom w:val="single" w:color="000000" w:sz="4" w:space="0"/>
            </w:tcBorders>
            <w:shd w:val="clear" w:color="auto" w:fill="FFFFFF"/>
            <w:vAlign w:val="bottom"/>
          </w:tcPr>
          <w:p w14:paraId="629ED787">
            <w:pPr>
              <w:rPr>
                <w:sz w:val="20"/>
                <w:szCs w:val="20"/>
                <w:shd w:val="clear" w:color="auto" w:fill="FFFFFF"/>
                <w:lang w:val="ru-RU"/>
              </w:rPr>
            </w:pPr>
            <w:r>
              <w:rPr>
                <w:sz w:val="20"/>
                <w:szCs w:val="20"/>
                <w:shd w:val="clear" w:color="auto" w:fill="FFFFFF"/>
              </w:rPr>
              <w:t>0</w:t>
            </w:r>
          </w:p>
        </w:tc>
        <w:tc>
          <w:tcPr>
            <w:tcW w:w="567" w:type="dxa"/>
            <w:tcBorders>
              <w:top w:val="single" w:color="000000" w:sz="4" w:space="0"/>
              <w:left w:val="single" w:color="000000" w:sz="4" w:space="0"/>
              <w:bottom w:val="single" w:color="000000" w:sz="4" w:space="0"/>
            </w:tcBorders>
            <w:shd w:val="clear" w:color="auto" w:fill="FFFFFF"/>
            <w:vAlign w:val="bottom"/>
          </w:tcPr>
          <w:p w14:paraId="5F686B23">
            <w:pPr>
              <w:rPr>
                <w:sz w:val="20"/>
                <w:szCs w:val="20"/>
                <w:shd w:val="clear" w:color="auto" w:fill="FFFFFF"/>
                <w:lang w:val="ru-RU"/>
              </w:rPr>
            </w:pPr>
            <w:r>
              <w:rPr>
                <w:sz w:val="20"/>
                <w:szCs w:val="20"/>
                <w:shd w:val="clear" w:color="auto" w:fill="FFFFFF"/>
                <w:lang w:val="ru-RU"/>
              </w:rPr>
              <w:t>0</w:t>
            </w:r>
          </w:p>
        </w:tc>
        <w:tc>
          <w:tcPr>
            <w:tcW w:w="992" w:type="dxa"/>
            <w:tcBorders>
              <w:top w:val="single" w:color="000000" w:sz="4" w:space="0"/>
              <w:left w:val="single" w:color="000000" w:sz="4" w:space="0"/>
              <w:bottom w:val="single" w:color="000000" w:sz="4" w:space="0"/>
            </w:tcBorders>
            <w:shd w:val="clear" w:color="auto" w:fill="FFFFFF"/>
            <w:vAlign w:val="bottom"/>
          </w:tcPr>
          <w:p w14:paraId="2F0BF317">
            <w:pPr>
              <w:rPr>
                <w:sz w:val="20"/>
                <w:szCs w:val="20"/>
                <w:shd w:val="clear" w:color="auto" w:fill="FFFFFF"/>
              </w:rPr>
            </w:pPr>
            <w:r>
              <w:rPr>
                <w:sz w:val="20"/>
                <w:szCs w:val="20"/>
                <w:shd w:val="clear" w:color="auto" w:fill="FFFFFF"/>
                <w:lang w:val="ru-RU"/>
              </w:rPr>
              <w:t>5,8</w:t>
            </w:r>
          </w:p>
        </w:tc>
        <w:tc>
          <w:tcPr>
            <w:tcW w:w="851" w:type="dxa"/>
            <w:tcBorders>
              <w:top w:val="single" w:color="000000" w:sz="4" w:space="0"/>
              <w:left w:val="single" w:color="000000" w:sz="4" w:space="0"/>
              <w:bottom w:val="single" w:color="000000" w:sz="4" w:space="0"/>
            </w:tcBorders>
            <w:shd w:val="clear" w:color="auto" w:fill="FFFFFF"/>
            <w:vAlign w:val="bottom"/>
          </w:tcPr>
          <w:p w14:paraId="4FF52A2E">
            <w:pPr>
              <w:rPr>
                <w:sz w:val="20"/>
                <w:szCs w:val="20"/>
                <w:shd w:val="clear" w:color="auto" w:fill="FFFFFF"/>
              </w:rPr>
            </w:pPr>
            <w:r>
              <w:rPr>
                <w:sz w:val="20"/>
                <w:szCs w:val="20"/>
                <w:shd w:val="clear" w:color="auto" w:fill="FFFFFF"/>
              </w:rPr>
              <w:t>0</w:t>
            </w:r>
          </w:p>
        </w:tc>
        <w:tc>
          <w:tcPr>
            <w:tcW w:w="850" w:type="dxa"/>
            <w:tcBorders>
              <w:top w:val="single" w:color="000000" w:sz="4" w:space="0"/>
              <w:left w:val="single" w:color="000000" w:sz="4" w:space="0"/>
              <w:bottom w:val="single" w:color="000000" w:sz="4" w:space="0"/>
            </w:tcBorders>
            <w:shd w:val="clear" w:color="auto" w:fill="FFFFFF"/>
            <w:vAlign w:val="bottom"/>
          </w:tcPr>
          <w:p w14:paraId="61FED4E2">
            <w:pPr>
              <w:rPr>
                <w:sz w:val="20"/>
                <w:szCs w:val="20"/>
                <w:shd w:val="clear" w:color="auto" w:fill="FF0000"/>
              </w:rPr>
            </w:pPr>
            <w:r>
              <w:rPr>
                <w:sz w:val="20"/>
                <w:szCs w:val="20"/>
                <w:shd w:val="clear" w:color="auto" w:fill="FFFFFF"/>
              </w:rPr>
              <w:t>0</w:t>
            </w:r>
          </w:p>
        </w:tc>
        <w:tc>
          <w:tcPr>
            <w:tcW w:w="709" w:type="dxa"/>
            <w:tcBorders>
              <w:top w:val="single" w:color="000000" w:sz="4" w:space="0"/>
              <w:left w:val="single" w:color="000000" w:sz="4" w:space="0"/>
              <w:bottom w:val="single" w:color="000000" w:sz="4" w:space="0"/>
            </w:tcBorders>
            <w:shd w:val="clear" w:color="auto" w:fill="auto"/>
            <w:vAlign w:val="bottom"/>
          </w:tcPr>
          <w:p w14:paraId="084D5469">
            <w:pPr>
              <w:rPr>
                <w:sz w:val="20"/>
                <w:szCs w:val="20"/>
                <w:shd w:val="clear" w:color="auto" w:fill="FFFFFF"/>
                <w:lang w:val="ru-RU"/>
              </w:rPr>
            </w:pPr>
            <w:r>
              <w:rPr>
                <w:sz w:val="20"/>
                <w:szCs w:val="20"/>
                <w:shd w:val="clear" w:color="auto" w:fill="FFFFFF"/>
                <w:lang w:val="ru-RU"/>
              </w:rPr>
              <w:t>0</w:t>
            </w:r>
          </w:p>
        </w:tc>
        <w:tc>
          <w:tcPr>
            <w:tcW w:w="851" w:type="dxa"/>
            <w:tcBorders>
              <w:top w:val="single" w:color="000000" w:sz="4" w:space="0"/>
              <w:left w:val="single" w:color="000000" w:sz="4" w:space="0"/>
              <w:bottom w:val="single" w:color="000000" w:sz="4" w:space="0"/>
            </w:tcBorders>
            <w:shd w:val="clear" w:color="auto" w:fill="auto"/>
            <w:vAlign w:val="bottom"/>
          </w:tcPr>
          <w:p w14:paraId="59A01977">
            <w:pPr>
              <w:rPr>
                <w:sz w:val="20"/>
                <w:szCs w:val="20"/>
                <w:shd w:val="clear" w:color="auto" w:fill="FF0000"/>
              </w:rPr>
            </w:pPr>
            <w:r>
              <w:rPr>
                <w:sz w:val="20"/>
                <w:szCs w:val="20"/>
                <w:lang w:val="ru-RU"/>
              </w:rPr>
              <w:t>4</w:t>
            </w:r>
          </w:p>
        </w:tc>
        <w:tc>
          <w:tcPr>
            <w:tcW w:w="699" w:type="dxa"/>
            <w:tcBorders>
              <w:top w:val="single" w:color="000000" w:sz="4" w:space="0"/>
              <w:left w:val="single" w:color="000000" w:sz="4" w:space="0"/>
              <w:bottom w:val="single" w:color="000000" w:sz="4" w:space="0"/>
              <w:right w:val="single" w:color="000000" w:sz="4" w:space="0"/>
            </w:tcBorders>
            <w:shd w:val="clear" w:color="auto" w:fill="auto"/>
            <w:vAlign w:val="bottom"/>
          </w:tcPr>
          <w:p w14:paraId="44B1B77E">
            <w:pPr>
              <w:rPr>
                <w:sz w:val="20"/>
                <w:szCs w:val="20"/>
                <w:shd w:val="clear" w:color="auto" w:fill="FFFFFF"/>
                <w:lang w:val="ru-RU"/>
              </w:rPr>
            </w:pPr>
            <w:r>
              <w:rPr>
                <w:sz w:val="20"/>
                <w:szCs w:val="20"/>
                <w:shd w:val="clear" w:color="auto" w:fill="FFFFFF"/>
                <w:lang w:val="ru-RU"/>
              </w:rPr>
              <w:t>1</w:t>
            </w:r>
          </w:p>
        </w:tc>
      </w:tr>
    </w:tbl>
    <w:p w14:paraId="74367D77">
      <w:pPr>
        <w:spacing w:line="360" w:lineRule="auto"/>
        <w:jc w:val="center"/>
        <w:rPr>
          <w:b/>
          <w:sz w:val="24"/>
          <w:szCs w:val="24"/>
          <w:u w:val="single"/>
          <w:lang w:val="ru-RU"/>
        </w:rPr>
      </w:pPr>
    </w:p>
    <w:p w14:paraId="4BD490A0">
      <w:pPr>
        <w:spacing w:line="360" w:lineRule="auto"/>
        <w:jc w:val="center"/>
        <w:rPr>
          <w:b/>
          <w:sz w:val="24"/>
          <w:szCs w:val="24"/>
          <w:u w:val="single"/>
          <w:lang w:val="ru-RU"/>
        </w:rPr>
      </w:pPr>
      <w:r>
        <w:rPr>
          <w:b/>
          <w:sz w:val="24"/>
          <w:szCs w:val="24"/>
          <w:lang w:val="ru-RU"/>
        </w:rPr>
        <w:t>Состояние водозаборных скважин по населенным пунктам.</w:t>
      </w:r>
    </w:p>
    <w:tbl>
      <w:tblPr>
        <w:tblStyle w:val="11"/>
        <w:tblW w:w="0" w:type="auto"/>
        <w:tblInd w:w="-10" w:type="dxa"/>
        <w:tblLayout w:type="fixed"/>
        <w:tblCellMar>
          <w:top w:w="0" w:type="dxa"/>
          <w:left w:w="108" w:type="dxa"/>
          <w:bottom w:w="0" w:type="dxa"/>
          <w:right w:w="108" w:type="dxa"/>
        </w:tblCellMar>
      </w:tblPr>
      <w:tblGrid>
        <w:gridCol w:w="2670"/>
        <w:gridCol w:w="709"/>
        <w:gridCol w:w="708"/>
        <w:gridCol w:w="709"/>
        <w:gridCol w:w="567"/>
        <w:gridCol w:w="851"/>
        <w:gridCol w:w="850"/>
        <w:gridCol w:w="992"/>
        <w:gridCol w:w="709"/>
        <w:gridCol w:w="851"/>
        <w:gridCol w:w="686"/>
      </w:tblGrid>
      <w:tr w14:paraId="5626604C">
        <w:tblPrEx>
          <w:tblCellMar>
            <w:top w:w="0" w:type="dxa"/>
            <w:left w:w="108" w:type="dxa"/>
            <w:bottom w:w="0" w:type="dxa"/>
            <w:right w:w="108" w:type="dxa"/>
          </w:tblCellMar>
        </w:tblPrEx>
        <w:trPr>
          <w:trHeight w:val="199" w:hRule="atLeast"/>
        </w:trPr>
        <w:tc>
          <w:tcPr>
            <w:tcW w:w="2670" w:type="dxa"/>
            <w:vMerge w:val="restart"/>
            <w:tcBorders>
              <w:top w:val="single" w:color="000000" w:sz="4" w:space="0"/>
              <w:left w:val="single" w:color="000000" w:sz="4" w:space="0"/>
              <w:bottom w:val="single" w:color="000000" w:sz="4" w:space="0"/>
            </w:tcBorders>
            <w:shd w:val="clear" w:color="auto" w:fill="FFFFFF"/>
            <w:vAlign w:val="center"/>
          </w:tcPr>
          <w:p w14:paraId="47ADA5E3">
            <w:pPr>
              <w:jc w:val="center"/>
              <w:rPr>
                <w:b/>
                <w:sz w:val="20"/>
                <w:szCs w:val="20"/>
              </w:rPr>
            </w:pPr>
            <w:r>
              <w:rPr>
                <w:b/>
                <w:sz w:val="20"/>
                <w:szCs w:val="20"/>
              </w:rPr>
              <w:t>Наименование территории</w:t>
            </w:r>
          </w:p>
        </w:tc>
        <w:tc>
          <w:tcPr>
            <w:tcW w:w="3544" w:type="dxa"/>
            <w:gridSpan w:val="5"/>
            <w:tcBorders>
              <w:top w:val="single" w:color="000000" w:sz="4" w:space="0"/>
              <w:left w:val="single" w:color="000000" w:sz="4" w:space="0"/>
              <w:bottom w:val="single" w:color="000000" w:sz="4" w:space="0"/>
            </w:tcBorders>
            <w:shd w:val="clear" w:color="auto" w:fill="FFFFFF"/>
            <w:vAlign w:val="center"/>
          </w:tcPr>
          <w:p w14:paraId="69EFECE9">
            <w:pPr>
              <w:rPr>
                <w:b/>
                <w:sz w:val="20"/>
                <w:szCs w:val="20"/>
                <w:lang w:val="ru-RU"/>
              </w:rPr>
            </w:pPr>
            <w:r>
              <w:rPr>
                <w:b/>
                <w:sz w:val="20"/>
                <w:szCs w:val="20"/>
              </w:rPr>
              <w:t>Количество скважин, шт.</w:t>
            </w:r>
          </w:p>
        </w:tc>
        <w:tc>
          <w:tcPr>
            <w:tcW w:w="1842" w:type="dxa"/>
            <w:gridSpan w:val="2"/>
            <w:vMerge w:val="restart"/>
            <w:tcBorders>
              <w:top w:val="single" w:color="000000" w:sz="4" w:space="0"/>
              <w:left w:val="single" w:color="000000" w:sz="4" w:space="0"/>
              <w:bottom w:val="single" w:color="000000" w:sz="4" w:space="0"/>
            </w:tcBorders>
            <w:shd w:val="clear" w:color="auto" w:fill="FFFFFF"/>
            <w:vAlign w:val="center"/>
          </w:tcPr>
          <w:p w14:paraId="6844E26A">
            <w:pPr>
              <w:rPr>
                <w:b/>
                <w:sz w:val="20"/>
                <w:szCs w:val="20"/>
                <w:lang w:val="ru-RU"/>
              </w:rPr>
            </w:pPr>
            <w:r>
              <w:rPr>
                <w:b/>
                <w:sz w:val="20"/>
                <w:szCs w:val="20"/>
                <w:lang w:val="ru-RU"/>
              </w:rPr>
              <w:t>Общая производитель-ность м3/сут</w:t>
            </w:r>
          </w:p>
        </w:tc>
        <w:tc>
          <w:tcPr>
            <w:tcW w:w="2246" w:type="dxa"/>
            <w:gridSpan w:val="3"/>
            <w:vMerge w:val="restart"/>
            <w:tcBorders>
              <w:top w:val="single" w:color="000000" w:sz="4" w:space="0"/>
              <w:left w:val="single" w:color="000000" w:sz="4" w:space="0"/>
              <w:bottom w:val="single" w:color="000000" w:sz="4" w:space="0"/>
              <w:right w:val="single" w:color="000000" w:sz="4" w:space="0"/>
            </w:tcBorders>
            <w:shd w:val="clear" w:color="auto" w:fill="FFFFFF"/>
            <w:vAlign w:val="center"/>
          </w:tcPr>
          <w:p w14:paraId="73265BEB">
            <w:pPr>
              <w:rPr>
                <w:b/>
                <w:sz w:val="20"/>
                <w:szCs w:val="20"/>
                <w:lang w:val="ru-RU"/>
              </w:rPr>
            </w:pPr>
            <w:r>
              <w:rPr>
                <w:b/>
                <w:sz w:val="20"/>
                <w:szCs w:val="20"/>
                <w:lang w:val="ru-RU"/>
              </w:rPr>
              <w:t>Планируемый объем по видам работ, шт</w:t>
            </w:r>
          </w:p>
        </w:tc>
      </w:tr>
      <w:tr w14:paraId="2376853F">
        <w:tblPrEx>
          <w:tblCellMar>
            <w:top w:w="0" w:type="dxa"/>
            <w:left w:w="108" w:type="dxa"/>
            <w:bottom w:w="0" w:type="dxa"/>
            <w:right w:w="108" w:type="dxa"/>
          </w:tblCellMar>
        </w:tblPrEx>
        <w:trPr>
          <w:trHeight w:val="199" w:hRule="atLeast"/>
        </w:trPr>
        <w:tc>
          <w:tcPr>
            <w:tcW w:w="2670" w:type="dxa"/>
            <w:vMerge w:val="continue"/>
            <w:tcBorders>
              <w:top w:val="single" w:color="000000" w:sz="4" w:space="0"/>
              <w:left w:val="single" w:color="000000" w:sz="4" w:space="0"/>
              <w:bottom w:val="single" w:color="000000" w:sz="4" w:space="0"/>
            </w:tcBorders>
            <w:shd w:val="clear" w:color="auto" w:fill="FFFFFF"/>
            <w:vAlign w:val="center"/>
          </w:tcPr>
          <w:p w14:paraId="36D85205">
            <w:pPr>
              <w:snapToGrid w:val="0"/>
              <w:jc w:val="center"/>
              <w:rPr>
                <w:b/>
                <w:sz w:val="20"/>
                <w:szCs w:val="20"/>
                <w:lang w:val="ru-RU"/>
              </w:rPr>
            </w:pPr>
          </w:p>
        </w:tc>
        <w:tc>
          <w:tcPr>
            <w:tcW w:w="709" w:type="dxa"/>
            <w:vMerge w:val="restart"/>
            <w:tcBorders>
              <w:left w:val="single" w:color="000000" w:sz="4" w:space="0"/>
              <w:bottom w:val="single" w:color="000000" w:sz="4" w:space="0"/>
            </w:tcBorders>
            <w:shd w:val="clear" w:color="auto" w:fill="FFFFFF"/>
            <w:vAlign w:val="center"/>
          </w:tcPr>
          <w:p w14:paraId="1DEF4836">
            <w:pPr>
              <w:rPr>
                <w:b/>
                <w:sz w:val="20"/>
                <w:szCs w:val="20"/>
              </w:rPr>
            </w:pPr>
            <w:r>
              <w:rPr>
                <w:b/>
                <w:sz w:val="20"/>
                <w:szCs w:val="20"/>
              </w:rPr>
              <w:t>Всего</w:t>
            </w:r>
          </w:p>
        </w:tc>
        <w:tc>
          <w:tcPr>
            <w:tcW w:w="2835" w:type="dxa"/>
            <w:gridSpan w:val="4"/>
            <w:tcBorders>
              <w:top w:val="single" w:color="000000" w:sz="4" w:space="0"/>
              <w:left w:val="single" w:color="000000" w:sz="4" w:space="0"/>
              <w:bottom w:val="single" w:color="000000" w:sz="4" w:space="0"/>
            </w:tcBorders>
            <w:shd w:val="clear" w:color="auto" w:fill="FFFFFF"/>
            <w:vAlign w:val="center"/>
          </w:tcPr>
          <w:p w14:paraId="27990997">
            <w:pPr>
              <w:rPr>
                <w:b/>
                <w:sz w:val="20"/>
                <w:szCs w:val="20"/>
              </w:rPr>
            </w:pPr>
            <w:r>
              <w:rPr>
                <w:b/>
                <w:sz w:val="20"/>
                <w:szCs w:val="20"/>
              </w:rPr>
              <w:t>в том числе</w:t>
            </w:r>
          </w:p>
        </w:tc>
        <w:tc>
          <w:tcPr>
            <w:tcW w:w="1842" w:type="dxa"/>
            <w:gridSpan w:val="2"/>
            <w:vMerge w:val="continue"/>
            <w:tcBorders>
              <w:top w:val="single" w:color="000000" w:sz="4" w:space="0"/>
              <w:left w:val="single" w:color="000000" w:sz="4" w:space="0"/>
              <w:bottom w:val="single" w:color="000000" w:sz="4" w:space="0"/>
            </w:tcBorders>
            <w:shd w:val="clear" w:color="auto" w:fill="FFFFFF"/>
            <w:vAlign w:val="center"/>
          </w:tcPr>
          <w:p w14:paraId="53963CF9">
            <w:pPr>
              <w:snapToGrid w:val="0"/>
              <w:rPr>
                <w:b/>
                <w:sz w:val="20"/>
                <w:szCs w:val="20"/>
              </w:rPr>
            </w:pPr>
          </w:p>
        </w:tc>
        <w:tc>
          <w:tcPr>
            <w:tcW w:w="2246" w:type="dxa"/>
            <w:gridSpan w:val="3"/>
            <w:vMerge w:val="continue"/>
            <w:tcBorders>
              <w:top w:val="single" w:color="000000" w:sz="4" w:space="0"/>
              <w:left w:val="single" w:color="000000" w:sz="4" w:space="0"/>
              <w:bottom w:val="single" w:color="000000" w:sz="4" w:space="0"/>
              <w:right w:val="single" w:color="000000" w:sz="4" w:space="0"/>
            </w:tcBorders>
            <w:shd w:val="clear" w:color="auto" w:fill="FFFFFF"/>
            <w:vAlign w:val="center"/>
          </w:tcPr>
          <w:p w14:paraId="579BB098">
            <w:pPr>
              <w:snapToGrid w:val="0"/>
              <w:rPr>
                <w:b/>
                <w:sz w:val="20"/>
                <w:szCs w:val="20"/>
              </w:rPr>
            </w:pPr>
          </w:p>
        </w:tc>
      </w:tr>
      <w:tr w14:paraId="7AF1573E">
        <w:tblPrEx>
          <w:tblCellMar>
            <w:top w:w="0" w:type="dxa"/>
            <w:left w:w="108" w:type="dxa"/>
            <w:bottom w:w="0" w:type="dxa"/>
            <w:right w:w="108" w:type="dxa"/>
          </w:tblCellMar>
        </w:tblPrEx>
        <w:trPr>
          <w:trHeight w:val="199" w:hRule="atLeast"/>
        </w:trPr>
        <w:tc>
          <w:tcPr>
            <w:tcW w:w="2670" w:type="dxa"/>
            <w:vMerge w:val="continue"/>
            <w:tcBorders>
              <w:top w:val="single" w:color="000000" w:sz="4" w:space="0"/>
              <w:left w:val="single" w:color="000000" w:sz="4" w:space="0"/>
              <w:bottom w:val="single" w:color="000000" w:sz="4" w:space="0"/>
            </w:tcBorders>
            <w:shd w:val="clear" w:color="auto" w:fill="FFFFFF"/>
            <w:vAlign w:val="center"/>
          </w:tcPr>
          <w:p w14:paraId="4A99C658">
            <w:pPr>
              <w:snapToGrid w:val="0"/>
              <w:jc w:val="center"/>
              <w:rPr>
                <w:b/>
                <w:sz w:val="20"/>
                <w:szCs w:val="20"/>
              </w:rPr>
            </w:pPr>
          </w:p>
        </w:tc>
        <w:tc>
          <w:tcPr>
            <w:tcW w:w="709" w:type="dxa"/>
            <w:vMerge w:val="continue"/>
            <w:tcBorders>
              <w:left w:val="single" w:color="000000" w:sz="4" w:space="0"/>
              <w:bottom w:val="single" w:color="000000" w:sz="4" w:space="0"/>
            </w:tcBorders>
            <w:shd w:val="clear" w:color="auto" w:fill="FFFFFF"/>
            <w:vAlign w:val="center"/>
          </w:tcPr>
          <w:p w14:paraId="25F93C84">
            <w:pPr>
              <w:snapToGrid w:val="0"/>
              <w:rPr>
                <w:b/>
                <w:sz w:val="20"/>
                <w:szCs w:val="20"/>
              </w:rPr>
            </w:pPr>
          </w:p>
        </w:tc>
        <w:tc>
          <w:tcPr>
            <w:tcW w:w="708" w:type="dxa"/>
            <w:tcBorders>
              <w:left w:val="single" w:color="000000" w:sz="4" w:space="0"/>
              <w:bottom w:val="single" w:color="000000" w:sz="4" w:space="0"/>
            </w:tcBorders>
            <w:shd w:val="clear" w:color="auto" w:fill="FFFFFF"/>
            <w:vAlign w:val="bottom"/>
          </w:tcPr>
          <w:p w14:paraId="4F4AFCA3">
            <w:pPr>
              <w:rPr>
                <w:b/>
                <w:sz w:val="20"/>
                <w:szCs w:val="20"/>
              </w:rPr>
            </w:pPr>
            <w:r>
              <w:rPr>
                <w:b/>
                <w:sz w:val="20"/>
                <w:szCs w:val="20"/>
                <w:lang w:val="ru-RU"/>
              </w:rPr>
              <w:t>Гос-ая собственность</w:t>
            </w:r>
          </w:p>
        </w:tc>
        <w:tc>
          <w:tcPr>
            <w:tcW w:w="709" w:type="dxa"/>
            <w:tcBorders>
              <w:left w:val="single" w:color="000000" w:sz="4" w:space="0"/>
              <w:bottom w:val="single" w:color="000000" w:sz="4" w:space="0"/>
            </w:tcBorders>
            <w:shd w:val="clear" w:color="auto" w:fill="FFFFFF"/>
            <w:vAlign w:val="bottom"/>
          </w:tcPr>
          <w:p w14:paraId="5ABE2558">
            <w:pPr>
              <w:rPr>
                <w:b/>
                <w:sz w:val="20"/>
                <w:szCs w:val="20"/>
              </w:rPr>
            </w:pPr>
            <w:r>
              <w:rPr>
                <w:b/>
                <w:sz w:val="20"/>
                <w:szCs w:val="20"/>
              </w:rPr>
              <w:t>ведомств.</w:t>
            </w:r>
          </w:p>
        </w:tc>
        <w:tc>
          <w:tcPr>
            <w:tcW w:w="567" w:type="dxa"/>
            <w:tcBorders>
              <w:left w:val="single" w:color="000000" w:sz="4" w:space="0"/>
              <w:bottom w:val="single" w:color="000000" w:sz="4" w:space="0"/>
            </w:tcBorders>
            <w:shd w:val="clear" w:color="auto" w:fill="FFFFFF"/>
            <w:vAlign w:val="bottom"/>
          </w:tcPr>
          <w:p w14:paraId="3960DC4D">
            <w:pPr>
              <w:rPr>
                <w:b/>
                <w:sz w:val="20"/>
                <w:szCs w:val="20"/>
              </w:rPr>
            </w:pPr>
            <w:r>
              <w:rPr>
                <w:b/>
                <w:sz w:val="20"/>
                <w:szCs w:val="20"/>
              </w:rPr>
              <w:t>с/хснабж.</w:t>
            </w:r>
          </w:p>
        </w:tc>
        <w:tc>
          <w:tcPr>
            <w:tcW w:w="851" w:type="dxa"/>
            <w:tcBorders>
              <w:left w:val="single" w:color="000000" w:sz="4" w:space="0"/>
              <w:bottom w:val="single" w:color="000000" w:sz="4" w:space="0"/>
            </w:tcBorders>
            <w:shd w:val="clear" w:color="auto" w:fill="FFFFFF"/>
            <w:vAlign w:val="bottom"/>
          </w:tcPr>
          <w:p w14:paraId="651F2E1F">
            <w:pPr>
              <w:rPr>
                <w:b/>
                <w:sz w:val="20"/>
                <w:szCs w:val="20"/>
              </w:rPr>
            </w:pPr>
            <w:r>
              <w:rPr>
                <w:b/>
                <w:sz w:val="20"/>
                <w:szCs w:val="20"/>
              </w:rPr>
              <w:t>заброшенных</w:t>
            </w:r>
          </w:p>
        </w:tc>
        <w:tc>
          <w:tcPr>
            <w:tcW w:w="850" w:type="dxa"/>
            <w:tcBorders>
              <w:left w:val="single" w:color="000000" w:sz="4" w:space="0"/>
              <w:bottom w:val="single" w:color="000000" w:sz="4" w:space="0"/>
            </w:tcBorders>
            <w:shd w:val="clear" w:color="auto" w:fill="FFFFFF"/>
            <w:vAlign w:val="bottom"/>
          </w:tcPr>
          <w:p w14:paraId="40D40645">
            <w:pPr>
              <w:rPr>
                <w:b/>
                <w:sz w:val="20"/>
                <w:szCs w:val="20"/>
              </w:rPr>
            </w:pPr>
            <w:r>
              <w:rPr>
                <w:b/>
                <w:sz w:val="20"/>
                <w:szCs w:val="20"/>
              </w:rPr>
              <w:t>требуемая</w:t>
            </w:r>
          </w:p>
        </w:tc>
        <w:tc>
          <w:tcPr>
            <w:tcW w:w="992" w:type="dxa"/>
            <w:tcBorders>
              <w:left w:val="single" w:color="000000" w:sz="4" w:space="0"/>
              <w:bottom w:val="single" w:color="000000" w:sz="4" w:space="0"/>
            </w:tcBorders>
            <w:shd w:val="clear" w:color="auto" w:fill="FFFFFF"/>
            <w:vAlign w:val="bottom"/>
          </w:tcPr>
          <w:p w14:paraId="12BA5754">
            <w:pPr>
              <w:rPr>
                <w:b/>
                <w:sz w:val="20"/>
                <w:szCs w:val="20"/>
              </w:rPr>
            </w:pPr>
            <w:r>
              <w:rPr>
                <w:b/>
                <w:sz w:val="20"/>
                <w:szCs w:val="20"/>
              </w:rPr>
              <w:t>фактическая</w:t>
            </w:r>
          </w:p>
        </w:tc>
        <w:tc>
          <w:tcPr>
            <w:tcW w:w="709" w:type="dxa"/>
            <w:tcBorders>
              <w:left w:val="single" w:color="000000" w:sz="4" w:space="0"/>
              <w:bottom w:val="single" w:color="000000" w:sz="4" w:space="0"/>
            </w:tcBorders>
            <w:shd w:val="clear" w:color="auto" w:fill="FFFFFF"/>
            <w:vAlign w:val="bottom"/>
          </w:tcPr>
          <w:p w14:paraId="2729B47B">
            <w:pPr>
              <w:rPr>
                <w:b/>
                <w:sz w:val="20"/>
                <w:szCs w:val="20"/>
              </w:rPr>
            </w:pPr>
            <w:r>
              <w:rPr>
                <w:b/>
                <w:sz w:val="20"/>
                <w:szCs w:val="20"/>
              </w:rPr>
              <w:t>Ликвидир.</w:t>
            </w:r>
          </w:p>
        </w:tc>
        <w:tc>
          <w:tcPr>
            <w:tcW w:w="851" w:type="dxa"/>
            <w:tcBorders>
              <w:left w:val="single" w:color="000000" w:sz="4" w:space="0"/>
              <w:bottom w:val="single" w:color="000000" w:sz="4" w:space="0"/>
            </w:tcBorders>
            <w:shd w:val="clear" w:color="auto" w:fill="FFFFFF"/>
            <w:vAlign w:val="bottom"/>
          </w:tcPr>
          <w:p w14:paraId="01226EFA">
            <w:pPr>
              <w:rPr>
                <w:b/>
                <w:sz w:val="20"/>
                <w:szCs w:val="20"/>
              </w:rPr>
            </w:pPr>
            <w:r>
              <w:rPr>
                <w:b/>
                <w:sz w:val="20"/>
                <w:szCs w:val="20"/>
              </w:rPr>
              <w:t>Реконстр.</w:t>
            </w:r>
          </w:p>
        </w:tc>
        <w:tc>
          <w:tcPr>
            <w:tcW w:w="686" w:type="dxa"/>
            <w:tcBorders>
              <w:left w:val="single" w:color="000000" w:sz="4" w:space="0"/>
              <w:bottom w:val="single" w:color="000000" w:sz="4" w:space="0"/>
              <w:right w:val="single" w:color="000000" w:sz="4" w:space="0"/>
            </w:tcBorders>
            <w:shd w:val="clear" w:color="auto" w:fill="FFFFFF"/>
            <w:vAlign w:val="bottom"/>
          </w:tcPr>
          <w:p w14:paraId="208E8AFF">
            <w:pPr>
              <w:rPr>
                <w:b/>
                <w:sz w:val="20"/>
                <w:szCs w:val="20"/>
              </w:rPr>
            </w:pPr>
            <w:r>
              <w:rPr>
                <w:b/>
                <w:sz w:val="20"/>
                <w:szCs w:val="20"/>
              </w:rPr>
              <w:t>Построить</w:t>
            </w:r>
          </w:p>
        </w:tc>
      </w:tr>
      <w:tr w14:paraId="1603330C">
        <w:tblPrEx>
          <w:tblCellMar>
            <w:top w:w="0" w:type="dxa"/>
            <w:left w:w="108" w:type="dxa"/>
            <w:bottom w:w="0" w:type="dxa"/>
            <w:right w:w="108" w:type="dxa"/>
          </w:tblCellMar>
        </w:tblPrEx>
        <w:trPr>
          <w:trHeight w:val="199" w:hRule="atLeast"/>
        </w:trPr>
        <w:tc>
          <w:tcPr>
            <w:tcW w:w="2670" w:type="dxa"/>
            <w:tcBorders>
              <w:left w:val="single" w:color="000000" w:sz="4" w:space="0"/>
              <w:bottom w:val="single" w:color="000000" w:sz="4" w:space="0"/>
            </w:tcBorders>
            <w:shd w:val="clear" w:color="auto" w:fill="FFFFFF"/>
            <w:vAlign w:val="bottom"/>
          </w:tcPr>
          <w:p w14:paraId="0F24F6A5">
            <w:pPr>
              <w:jc w:val="center"/>
              <w:rPr>
                <w:b/>
                <w:sz w:val="20"/>
                <w:szCs w:val="20"/>
                <w:shd w:val="clear" w:color="auto" w:fill="FF0000"/>
              </w:rPr>
            </w:pPr>
            <w:r>
              <w:rPr>
                <w:b/>
                <w:sz w:val="20"/>
                <w:szCs w:val="20"/>
              </w:rPr>
              <w:t xml:space="preserve">ИТОГО по </w:t>
            </w:r>
            <w:r>
              <w:rPr>
                <w:b/>
                <w:sz w:val="20"/>
                <w:szCs w:val="20"/>
                <w:lang w:val="ru-RU"/>
              </w:rPr>
              <w:t>округ</w:t>
            </w:r>
            <w:r>
              <w:rPr>
                <w:b/>
                <w:sz w:val="20"/>
                <w:szCs w:val="20"/>
              </w:rPr>
              <w:t>у</w:t>
            </w:r>
          </w:p>
        </w:tc>
        <w:tc>
          <w:tcPr>
            <w:tcW w:w="709" w:type="dxa"/>
            <w:tcBorders>
              <w:left w:val="single" w:color="000000" w:sz="4" w:space="0"/>
              <w:bottom w:val="single" w:color="000000" w:sz="4" w:space="0"/>
            </w:tcBorders>
            <w:shd w:val="clear" w:color="auto" w:fill="auto"/>
            <w:vAlign w:val="bottom"/>
          </w:tcPr>
          <w:p w14:paraId="411710A1">
            <w:pPr>
              <w:rPr>
                <w:sz w:val="20"/>
                <w:szCs w:val="20"/>
              </w:rPr>
            </w:pPr>
            <w:r>
              <w:rPr>
                <w:sz w:val="20"/>
                <w:szCs w:val="20"/>
              </w:rPr>
              <w:t>72</w:t>
            </w:r>
          </w:p>
        </w:tc>
        <w:tc>
          <w:tcPr>
            <w:tcW w:w="708" w:type="dxa"/>
            <w:tcBorders>
              <w:left w:val="single" w:color="000000" w:sz="4" w:space="0"/>
              <w:bottom w:val="single" w:color="000000" w:sz="4" w:space="0"/>
            </w:tcBorders>
            <w:shd w:val="clear" w:color="auto" w:fill="auto"/>
            <w:vAlign w:val="bottom"/>
          </w:tcPr>
          <w:p w14:paraId="5EFFC5FD">
            <w:pPr>
              <w:rPr>
                <w:sz w:val="20"/>
                <w:szCs w:val="20"/>
              </w:rPr>
            </w:pPr>
          </w:p>
        </w:tc>
        <w:tc>
          <w:tcPr>
            <w:tcW w:w="709" w:type="dxa"/>
            <w:tcBorders>
              <w:left w:val="single" w:color="000000" w:sz="4" w:space="0"/>
              <w:bottom w:val="single" w:color="000000" w:sz="4" w:space="0"/>
            </w:tcBorders>
            <w:shd w:val="clear" w:color="auto" w:fill="auto"/>
            <w:vAlign w:val="bottom"/>
          </w:tcPr>
          <w:p w14:paraId="291577FB">
            <w:pPr>
              <w:rPr>
                <w:sz w:val="20"/>
                <w:szCs w:val="20"/>
              </w:rPr>
            </w:pPr>
          </w:p>
        </w:tc>
        <w:tc>
          <w:tcPr>
            <w:tcW w:w="567" w:type="dxa"/>
            <w:tcBorders>
              <w:left w:val="single" w:color="000000" w:sz="4" w:space="0"/>
              <w:bottom w:val="single" w:color="000000" w:sz="4" w:space="0"/>
            </w:tcBorders>
            <w:shd w:val="clear" w:color="auto" w:fill="auto"/>
            <w:vAlign w:val="bottom"/>
          </w:tcPr>
          <w:p w14:paraId="63CBB0B6">
            <w:pPr>
              <w:rPr>
                <w:sz w:val="20"/>
                <w:szCs w:val="20"/>
              </w:rPr>
            </w:pPr>
          </w:p>
        </w:tc>
        <w:tc>
          <w:tcPr>
            <w:tcW w:w="851" w:type="dxa"/>
            <w:tcBorders>
              <w:left w:val="single" w:color="000000" w:sz="4" w:space="0"/>
              <w:bottom w:val="single" w:color="000000" w:sz="4" w:space="0"/>
            </w:tcBorders>
            <w:shd w:val="clear" w:color="auto" w:fill="auto"/>
            <w:vAlign w:val="bottom"/>
          </w:tcPr>
          <w:p w14:paraId="0E56A103">
            <w:pPr>
              <w:rPr>
                <w:sz w:val="20"/>
                <w:szCs w:val="20"/>
              </w:rPr>
            </w:pPr>
          </w:p>
        </w:tc>
        <w:tc>
          <w:tcPr>
            <w:tcW w:w="850" w:type="dxa"/>
            <w:tcBorders>
              <w:left w:val="single" w:color="000000" w:sz="4" w:space="0"/>
              <w:bottom w:val="single" w:color="000000" w:sz="4" w:space="0"/>
            </w:tcBorders>
            <w:shd w:val="clear" w:color="auto" w:fill="auto"/>
            <w:vAlign w:val="bottom"/>
          </w:tcPr>
          <w:p w14:paraId="2ECF4706">
            <w:pPr>
              <w:rPr>
                <w:sz w:val="20"/>
                <w:szCs w:val="20"/>
              </w:rPr>
            </w:pPr>
          </w:p>
        </w:tc>
        <w:tc>
          <w:tcPr>
            <w:tcW w:w="992" w:type="dxa"/>
            <w:tcBorders>
              <w:left w:val="single" w:color="000000" w:sz="4" w:space="0"/>
              <w:bottom w:val="single" w:color="000000" w:sz="4" w:space="0"/>
            </w:tcBorders>
            <w:shd w:val="clear" w:color="auto" w:fill="auto"/>
            <w:vAlign w:val="bottom"/>
          </w:tcPr>
          <w:p w14:paraId="70DC33B7">
            <w:pPr>
              <w:rPr>
                <w:sz w:val="20"/>
                <w:szCs w:val="20"/>
              </w:rPr>
            </w:pPr>
          </w:p>
        </w:tc>
        <w:tc>
          <w:tcPr>
            <w:tcW w:w="709" w:type="dxa"/>
            <w:tcBorders>
              <w:left w:val="single" w:color="000000" w:sz="4" w:space="0"/>
              <w:bottom w:val="single" w:color="000000" w:sz="4" w:space="0"/>
            </w:tcBorders>
            <w:shd w:val="clear" w:color="auto" w:fill="auto"/>
            <w:vAlign w:val="bottom"/>
          </w:tcPr>
          <w:p w14:paraId="747E6103">
            <w:pPr>
              <w:rPr>
                <w:sz w:val="20"/>
                <w:szCs w:val="20"/>
              </w:rPr>
            </w:pPr>
            <w:r>
              <w:rPr>
                <w:sz w:val="20"/>
                <w:szCs w:val="20"/>
              </w:rPr>
              <w:t>18</w:t>
            </w:r>
          </w:p>
        </w:tc>
        <w:tc>
          <w:tcPr>
            <w:tcW w:w="851" w:type="dxa"/>
            <w:tcBorders>
              <w:left w:val="single" w:color="000000" w:sz="4" w:space="0"/>
              <w:bottom w:val="single" w:color="000000" w:sz="4" w:space="0"/>
            </w:tcBorders>
            <w:shd w:val="clear" w:color="auto" w:fill="auto"/>
            <w:vAlign w:val="bottom"/>
          </w:tcPr>
          <w:p w14:paraId="15ECE4C5">
            <w:pPr>
              <w:rPr>
                <w:sz w:val="20"/>
                <w:szCs w:val="20"/>
              </w:rPr>
            </w:pPr>
            <w:r>
              <w:rPr>
                <w:sz w:val="20"/>
                <w:szCs w:val="20"/>
              </w:rPr>
              <w:t>20</w:t>
            </w:r>
          </w:p>
        </w:tc>
        <w:tc>
          <w:tcPr>
            <w:tcW w:w="686" w:type="dxa"/>
            <w:tcBorders>
              <w:left w:val="single" w:color="000000" w:sz="4" w:space="0"/>
              <w:bottom w:val="single" w:color="000000" w:sz="4" w:space="0"/>
              <w:right w:val="single" w:color="000000" w:sz="4" w:space="0"/>
            </w:tcBorders>
            <w:shd w:val="clear" w:color="auto" w:fill="auto"/>
            <w:vAlign w:val="bottom"/>
          </w:tcPr>
          <w:p w14:paraId="0F3A8E20">
            <w:pPr>
              <w:rPr>
                <w:sz w:val="20"/>
                <w:szCs w:val="20"/>
              </w:rPr>
            </w:pPr>
            <w:r>
              <w:rPr>
                <w:sz w:val="20"/>
                <w:szCs w:val="20"/>
              </w:rPr>
              <w:t>18</w:t>
            </w:r>
          </w:p>
        </w:tc>
      </w:tr>
      <w:tr w14:paraId="1F650E2A">
        <w:tblPrEx>
          <w:tblCellMar>
            <w:top w:w="0" w:type="dxa"/>
            <w:left w:w="108" w:type="dxa"/>
            <w:bottom w:w="0" w:type="dxa"/>
            <w:right w:w="108" w:type="dxa"/>
          </w:tblCellMar>
        </w:tblPrEx>
        <w:trPr>
          <w:trHeight w:val="199" w:hRule="atLeast"/>
        </w:trPr>
        <w:tc>
          <w:tcPr>
            <w:tcW w:w="2670" w:type="dxa"/>
            <w:tcBorders>
              <w:left w:val="single" w:color="000000" w:sz="4" w:space="0"/>
              <w:bottom w:val="single" w:color="000000" w:sz="4" w:space="0"/>
            </w:tcBorders>
            <w:shd w:val="clear" w:color="auto" w:fill="FFFFFF"/>
            <w:vAlign w:val="bottom"/>
          </w:tcPr>
          <w:p w14:paraId="0FD72123">
            <w:pPr>
              <w:jc w:val="center"/>
              <w:rPr>
                <w:b/>
                <w:sz w:val="20"/>
                <w:szCs w:val="20"/>
                <w:shd w:val="clear" w:color="auto" w:fill="FF0000"/>
              </w:rPr>
            </w:pPr>
            <w:r>
              <w:rPr>
                <w:b/>
                <w:sz w:val="20"/>
                <w:szCs w:val="20"/>
              </w:rPr>
              <w:t>г. Валуйки</w:t>
            </w:r>
          </w:p>
        </w:tc>
        <w:tc>
          <w:tcPr>
            <w:tcW w:w="709" w:type="dxa"/>
            <w:tcBorders>
              <w:left w:val="single" w:color="000000" w:sz="4" w:space="0"/>
              <w:bottom w:val="single" w:color="000000" w:sz="4" w:space="0"/>
            </w:tcBorders>
            <w:shd w:val="clear" w:color="auto" w:fill="auto"/>
            <w:vAlign w:val="bottom"/>
          </w:tcPr>
          <w:p w14:paraId="464B353F">
            <w:pPr>
              <w:rPr>
                <w:sz w:val="20"/>
                <w:szCs w:val="20"/>
              </w:rPr>
            </w:pPr>
          </w:p>
        </w:tc>
        <w:tc>
          <w:tcPr>
            <w:tcW w:w="708" w:type="dxa"/>
            <w:tcBorders>
              <w:left w:val="single" w:color="000000" w:sz="4" w:space="0"/>
              <w:bottom w:val="single" w:color="000000" w:sz="4" w:space="0"/>
            </w:tcBorders>
            <w:shd w:val="clear" w:color="auto" w:fill="auto"/>
            <w:vAlign w:val="bottom"/>
          </w:tcPr>
          <w:p w14:paraId="67EE2F81">
            <w:pPr>
              <w:rPr>
                <w:sz w:val="20"/>
                <w:szCs w:val="20"/>
              </w:rPr>
            </w:pPr>
          </w:p>
        </w:tc>
        <w:tc>
          <w:tcPr>
            <w:tcW w:w="709" w:type="dxa"/>
            <w:tcBorders>
              <w:left w:val="single" w:color="000000" w:sz="4" w:space="0"/>
              <w:bottom w:val="single" w:color="000000" w:sz="4" w:space="0"/>
            </w:tcBorders>
            <w:shd w:val="clear" w:color="auto" w:fill="auto"/>
            <w:vAlign w:val="bottom"/>
          </w:tcPr>
          <w:p w14:paraId="7B7309C6">
            <w:pPr>
              <w:rPr>
                <w:sz w:val="20"/>
                <w:szCs w:val="20"/>
              </w:rPr>
            </w:pPr>
          </w:p>
        </w:tc>
        <w:tc>
          <w:tcPr>
            <w:tcW w:w="567" w:type="dxa"/>
            <w:tcBorders>
              <w:left w:val="single" w:color="000000" w:sz="4" w:space="0"/>
              <w:bottom w:val="single" w:color="000000" w:sz="4" w:space="0"/>
            </w:tcBorders>
            <w:shd w:val="clear" w:color="auto" w:fill="auto"/>
            <w:vAlign w:val="bottom"/>
          </w:tcPr>
          <w:p w14:paraId="426D5E39">
            <w:pPr>
              <w:rPr>
                <w:sz w:val="20"/>
                <w:szCs w:val="20"/>
              </w:rPr>
            </w:pPr>
          </w:p>
        </w:tc>
        <w:tc>
          <w:tcPr>
            <w:tcW w:w="851" w:type="dxa"/>
            <w:tcBorders>
              <w:left w:val="single" w:color="000000" w:sz="4" w:space="0"/>
              <w:bottom w:val="single" w:color="000000" w:sz="4" w:space="0"/>
            </w:tcBorders>
            <w:shd w:val="clear" w:color="auto" w:fill="auto"/>
            <w:vAlign w:val="bottom"/>
          </w:tcPr>
          <w:p w14:paraId="1BC8AB2D">
            <w:pPr>
              <w:rPr>
                <w:sz w:val="20"/>
                <w:szCs w:val="20"/>
              </w:rPr>
            </w:pPr>
          </w:p>
        </w:tc>
        <w:tc>
          <w:tcPr>
            <w:tcW w:w="850" w:type="dxa"/>
            <w:tcBorders>
              <w:left w:val="single" w:color="000000" w:sz="4" w:space="0"/>
              <w:bottom w:val="single" w:color="000000" w:sz="4" w:space="0"/>
            </w:tcBorders>
            <w:shd w:val="clear" w:color="auto" w:fill="auto"/>
            <w:vAlign w:val="bottom"/>
          </w:tcPr>
          <w:p w14:paraId="4026DC9A">
            <w:pPr>
              <w:rPr>
                <w:sz w:val="20"/>
                <w:szCs w:val="20"/>
              </w:rPr>
            </w:pPr>
          </w:p>
        </w:tc>
        <w:tc>
          <w:tcPr>
            <w:tcW w:w="992" w:type="dxa"/>
            <w:tcBorders>
              <w:left w:val="single" w:color="000000" w:sz="4" w:space="0"/>
              <w:bottom w:val="single" w:color="000000" w:sz="4" w:space="0"/>
            </w:tcBorders>
            <w:shd w:val="clear" w:color="auto" w:fill="auto"/>
            <w:vAlign w:val="bottom"/>
          </w:tcPr>
          <w:p w14:paraId="1408C5FE">
            <w:pPr>
              <w:rPr>
                <w:sz w:val="20"/>
                <w:szCs w:val="20"/>
              </w:rPr>
            </w:pPr>
          </w:p>
        </w:tc>
        <w:tc>
          <w:tcPr>
            <w:tcW w:w="709" w:type="dxa"/>
            <w:tcBorders>
              <w:left w:val="single" w:color="000000" w:sz="4" w:space="0"/>
              <w:bottom w:val="single" w:color="000000" w:sz="4" w:space="0"/>
            </w:tcBorders>
            <w:shd w:val="clear" w:color="auto" w:fill="auto"/>
            <w:vAlign w:val="bottom"/>
          </w:tcPr>
          <w:p w14:paraId="05D05070">
            <w:pPr>
              <w:rPr>
                <w:sz w:val="20"/>
                <w:szCs w:val="20"/>
              </w:rPr>
            </w:pPr>
            <w:r>
              <w:rPr>
                <w:sz w:val="20"/>
                <w:szCs w:val="20"/>
              </w:rPr>
              <w:t>0</w:t>
            </w:r>
          </w:p>
        </w:tc>
        <w:tc>
          <w:tcPr>
            <w:tcW w:w="851" w:type="dxa"/>
            <w:tcBorders>
              <w:left w:val="single" w:color="000000" w:sz="4" w:space="0"/>
              <w:bottom w:val="single" w:color="000000" w:sz="4" w:space="0"/>
            </w:tcBorders>
            <w:shd w:val="clear" w:color="auto" w:fill="auto"/>
            <w:vAlign w:val="bottom"/>
          </w:tcPr>
          <w:p w14:paraId="5001FF95">
            <w:pPr>
              <w:rPr>
                <w:sz w:val="20"/>
                <w:szCs w:val="20"/>
              </w:rPr>
            </w:pPr>
            <w:r>
              <w:rPr>
                <w:sz w:val="20"/>
                <w:szCs w:val="20"/>
              </w:rPr>
              <w:t>2</w:t>
            </w:r>
          </w:p>
        </w:tc>
        <w:tc>
          <w:tcPr>
            <w:tcW w:w="686" w:type="dxa"/>
            <w:tcBorders>
              <w:left w:val="single" w:color="000000" w:sz="4" w:space="0"/>
              <w:bottom w:val="single" w:color="000000" w:sz="4" w:space="0"/>
              <w:right w:val="single" w:color="000000" w:sz="4" w:space="0"/>
            </w:tcBorders>
            <w:shd w:val="clear" w:color="auto" w:fill="auto"/>
            <w:vAlign w:val="bottom"/>
          </w:tcPr>
          <w:p w14:paraId="2A93FC19">
            <w:pPr>
              <w:rPr>
                <w:sz w:val="20"/>
                <w:szCs w:val="20"/>
              </w:rPr>
            </w:pPr>
            <w:r>
              <w:rPr>
                <w:sz w:val="20"/>
                <w:szCs w:val="20"/>
              </w:rPr>
              <w:t>4</w:t>
            </w:r>
          </w:p>
        </w:tc>
      </w:tr>
      <w:tr w14:paraId="50808568">
        <w:tblPrEx>
          <w:tblCellMar>
            <w:top w:w="0" w:type="dxa"/>
            <w:left w:w="108" w:type="dxa"/>
            <w:bottom w:w="0" w:type="dxa"/>
            <w:right w:w="108" w:type="dxa"/>
          </w:tblCellMar>
        </w:tblPrEx>
        <w:trPr>
          <w:trHeight w:val="199" w:hRule="atLeast"/>
        </w:trPr>
        <w:tc>
          <w:tcPr>
            <w:tcW w:w="2670" w:type="dxa"/>
            <w:tcBorders>
              <w:left w:val="single" w:color="000000" w:sz="4" w:space="0"/>
              <w:bottom w:val="single" w:color="000000" w:sz="4" w:space="0"/>
            </w:tcBorders>
            <w:shd w:val="clear" w:color="auto" w:fill="FFFFFF"/>
            <w:vAlign w:val="bottom"/>
          </w:tcPr>
          <w:p w14:paraId="47D2E2EC">
            <w:pPr>
              <w:rPr>
                <w:sz w:val="20"/>
                <w:szCs w:val="20"/>
                <w:lang w:val="ru-RU"/>
              </w:rPr>
            </w:pPr>
            <w:r>
              <w:rPr>
                <w:sz w:val="20"/>
                <w:szCs w:val="20"/>
              </w:rPr>
              <w:t>село Сухарево</w:t>
            </w:r>
          </w:p>
        </w:tc>
        <w:tc>
          <w:tcPr>
            <w:tcW w:w="709" w:type="dxa"/>
            <w:tcBorders>
              <w:left w:val="single" w:color="000000" w:sz="4" w:space="0"/>
              <w:bottom w:val="single" w:color="000000" w:sz="4" w:space="0"/>
            </w:tcBorders>
            <w:shd w:val="clear" w:color="auto" w:fill="auto"/>
            <w:vAlign w:val="bottom"/>
          </w:tcPr>
          <w:p w14:paraId="520AF4BC">
            <w:pPr>
              <w:rPr>
                <w:sz w:val="20"/>
                <w:szCs w:val="20"/>
                <w:lang w:val="ru-RU"/>
              </w:rPr>
            </w:pPr>
            <w:r>
              <w:rPr>
                <w:sz w:val="20"/>
                <w:szCs w:val="20"/>
                <w:lang w:val="ru-RU"/>
              </w:rPr>
              <w:t>1</w:t>
            </w:r>
          </w:p>
        </w:tc>
        <w:tc>
          <w:tcPr>
            <w:tcW w:w="708" w:type="dxa"/>
            <w:tcBorders>
              <w:left w:val="single" w:color="000000" w:sz="4" w:space="0"/>
              <w:bottom w:val="single" w:color="000000" w:sz="4" w:space="0"/>
            </w:tcBorders>
            <w:shd w:val="clear" w:color="auto" w:fill="auto"/>
            <w:vAlign w:val="bottom"/>
          </w:tcPr>
          <w:p w14:paraId="665F4BFE">
            <w:pPr>
              <w:rPr>
                <w:sz w:val="20"/>
                <w:szCs w:val="20"/>
              </w:rPr>
            </w:pPr>
            <w:r>
              <w:rPr>
                <w:sz w:val="20"/>
                <w:szCs w:val="20"/>
                <w:lang w:val="ru-RU"/>
              </w:rPr>
              <w:t>1</w:t>
            </w:r>
          </w:p>
        </w:tc>
        <w:tc>
          <w:tcPr>
            <w:tcW w:w="709" w:type="dxa"/>
            <w:tcBorders>
              <w:left w:val="single" w:color="000000" w:sz="4" w:space="0"/>
              <w:bottom w:val="single" w:color="000000" w:sz="4" w:space="0"/>
            </w:tcBorders>
            <w:shd w:val="clear" w:color="auto" w:fill="auto"/>
            <w:vAlign w:val="bottom"/>
          </w:tcPr>
          <w:p w14:paraId="1EC92552">
            <w:pPr>
              <w:rPr>
                <w:sz w:val="20"/>
                <w:szCs w:val="20"/>
              </w:rPr>
            </w:pPr>
            <w:r>
              <w:rPr>
                <w:sz w:val="20"/>
                <w:szCs w:val="20"/>
              </w:rPr>
              <w:t>0</w:t>
            </w:r>
          </w:p>
        </w:tc>
        <w:tc>
          <w:tcPr>
            <w:tcW w:w="567" w:type="dxa"/>
            <w:tcBorders>
              <w:left w:val="single" w:color="000000" w:sz="4" w:space="0"/>
              <w:bottom w:val="single" w:color="000000" w:sz="4" w:space="0"/>
            </w:tcBorders>
            <w:shd w:val="clear" w:color="auto" w:fill="auto"/>
            <w:vAlign w:val="bottom"/>
          </w:tcPr>
          <w:p w14:paraId="5FA6421D">
            <w:pPr>
              <w:rPr>
                <w:sz w:val="20"/>
                <w:szCs w:val="20"/>
                <w:lang w:val="ru-RU"/>
              </w:rPr>
            </w:pPr>
            <w:r>
              <w:rPr>
                <w:sz w:val="20"/>
                <w:szCs w:val="20"/>
              </w:rPr>
              <w:t>0</w:t>
            </w:r>
          </w:p>
        </w:tc>
        <w:tc>
          <w:tcPr>
            <w:tcW w:w="851" w:type="dxa"/>
            <w:tcBorders>
              <w:left w:val="single" w:color="000000" w:sz="4" w:space="0"/>
              <w:bottom w:val="single" w:color="000000" w:sz="4" w:space="0"/>
            </w:tcBorders>
            <w:shd w:val="clear" w:color="auto" w:fill="auto"/>
            <w:vAlign w:val="bottom"/>
          </w:tcPr>
          <w:p w14:paraId="21168524">
            <w:pPr>
              <w:rPr>
                <w:sz w:val="20"/>
                <w:szCs w:val="20"/>
                <w:lang w:val="ru-RU"/>
              </w:rPr>
            </w:pPr>
            <w:r>
              <w:rPr>
                <w:sz w:val="20"/>
                <w:szCs w:val="20"/>
                <w:lang w:val="ru-RU"/>
              </w:rPr>
              <w:t>0</w:t>
            </w:r>
          </w:p>
        </w:tc>
        <w:tc>
          <w:tcPr>
            <w:tcW w:w="850" w:type="dxa"/>
            <w:tcBorders>
              <w:left w:val="single" w:color="000000" w:sz="4" w:space="0"/>
              <w:bottom w:val="single" w:color="000000" w:sz="4" w:space="0"/>
            </w:tcBorders>
            <w:shd w:val="clear" w:color="auto" w:fill="auto"/>
            <w:vAlign w:val="bottom"/>
          </w:tcPr>
          <w:p w14:paraId="7CCE6555">
            <w:pPr>
              <w:rPr>
                <w:sz w:val="20"/>
                <w:szCs w:val="20"/>
                <w:lang w:val="ru-RU"/>
              </w:rPr>
            </w:pPr>
            <w:r>
              <w:rPr>
                <w:sz w:val="20"/>
                <w:szCs w:val="20"/>
                <w:lang w:val="ru-RU"/>
              </w:rPr>
              <w:t>156</w:t>
            </w:r>
          </w:p>
        </w:tc>
        <w:tc>
          <w:tcPr>
            <w:tcW w:w="992" w:type="dxa"/>
            <w:tcBorders>
              <w:left w:val="single" w:color="000000" w:sz="4" w:space="0"/>
              <w:bottom w:val="single" w:color="000000" w:sz="4" w:space="0"/>
            </w:tcBorders>
            <w:shd w:val="clear" w:color="auto" w:fill="auto"/>
            <w:vAlign w:val="bottom"/>
          </w:tcPr>
          <w:p w14:paraId="39AE8C10">
            <w:pPr>
              <w:rPr>
                <w:sz w:val="20"/>
                <w:szCs w:val="20"/>
                <w:shd w:val="clear" w:color="auto" w:fill="FF0000"/>
              </w:rPr>
            </w:pPr>
            <w:r>
              <w:rPr>
                <w:sz w:val="20"/>
                <w:szCs w:val="20"/>
                <w:lang w:val="ru-RU"/>
              </w:rPr>
              <w:t>18,74</w:t>
            </w:r>
          </w:p>
        </w:tc>
        <w:tc>
          <w:tcPr>
            <w:tcW w:w="709" w:type="dxa"/>
            <w:tcBorders>
              <w:left w:val="single" w:color="000000" w:sz="4" w:space="0"/>
              <w:bottom w:val="single" w:color="000000" w:sz="4" w:space="0"/>
            </w:tcBorders>
            <w:shd w:val="clear" w:color="auto" w:fill="auto"/>
            <w:vAlign w:val="bottom"/>
          </w:tcPr>
          <w:p w14:paraId="5726B81D">
            <w:pPr>
              <w:rPr>
                <w:sz w:val="20"/>
                <w:szCs w:val="20"/>
              </w:rPr>
            </w:pPr>
            <w:r>
              <w:rPr>
                <w:sz w:val="20"/>
                <w:szCs w:val="20"/>
              </w:rPr>
              <w:t>6</w:t>
            </w:r>
          </w:p>
        </w:tc>
        <w:tc>
          <w:tcPr>
            <w:tcW w:w="851" w:type="dxa"/>
            <w:tcBorders>
              <w:left w:val="single" w:color="000000" w:sz="4" w:space="0"/>
              <w:bottom w:val="single" w:color="000000" w:sz="4" w:space="0"/>
            </w:tcBorders>
            <w:shd w:val="clear" w:color="auto" w:fill="auto"/>
            <w:vAlign w:val="bottom"/>
          </w:tcPr>
          <w:p w14:paraId="28737127">
            <w:pPr>
              <w:rPr>
                <w:sz w:val="20"/>
                <w:szCs w:val="20"/>
              </w:rPr>
            </w:pPr>
            <w:r>
              <w:rPr>
                <w:sz w:val="20"/>
                <w:szCs w:val="20"/>
              </w:rPr>
              <w:t>0</w:t>
            </w:r>
          </w:p>
        </w:tc>
        <w:tc>
          <w:tcPr>
            <w:tcW w:w="686" w:type="dxa"/>
            <w:tcBorders>
              <w:left w:val="single" w:color="000000" w:sz="4" w:space="0"/>
              <w:bottom w:val="single" w:color="000000" w:sz="4" w:space="0"/>
              <w:right w:val="single" w:color="000000" w:sz="4" w:space="0"/>
            </w:tcBorders>
            <w:shd w:val="clear" w:color="auto" w:fill="auto"/>
            <w:vAlign w:val="bottom"/>
          </w:tcPr>
          <w:p w14:paraId="196A81DB">
            <w:pPr>
              <w:rPr>
                <w:sz w:val="20"/>
                <w:szCs w:val="20"/>
              </w:rPr>
            </w:pPr>
            <w:r>
              <w:rPr>
                <w:sz w:val="20"/>
                <w:szCs w:val="20"/>
              </w:rPr>
              <w:t>1</w:t>
            </w:r>
          </w:p>
        </w:tc>
      </w:tr>
    </w:tbl>
    <w:p w14:paraId="2739463C">
      <w:pPr>
        <w:widowControl/>
        <w:autoSpaceDE/>
        <w:autoSpaceDN/>
        <w:spacing w:line="276" w:lineRule="auto"/>
        <w:ind w:firstLine="567"/>
        <w:jc w:val="both"/>
        <w:rPr>
          <w:sz w:val="28"/>
          <w:szCs w:val="28"/>
          <w:lang w:val="ru-RU" w:eastAsia="ru-RU"/>
        </w:rPr>
      </w:pPr>
    </w:p>
    <w:p w14:paraId="3ADA2DC9">
      <w:pPr>
        <w:pStyle w:val="4"/>
        <w:numPr>
          <w:ilvl w:val="2"/>
          <w:numId w:val="5"/>
        </w:numPr>
        <w:shd w:val="clear" w:color="auto" w:fill="FFFFFF"/>
        <w:spacing w:before="40" w:line="317" w:lineRule="exact"/>
        <w:ind w:left="1440" w:hanging="720"/>
        <w:rPr>
          <w:rFonts w:ascii="Times New Roman" w:hAnsi="Times New Roman" w:eastAsia="Times New Roman"/>
          <w:color w:val="auto"/>
          <w:sz w:val="24"/>
          <w:szCs w:val="24"/>
          <w:lang w:val="ru-RU" w:eastAsia="ru-RU"/>
        </w:rPr>
      </w:pPr>
      <w:r>
        <w:rPr>
          <w:rFonts w:ascii="Times New Roman" w:hAnsi="Times New Roman" w:eastAsia="Times New Roman"/>
          <w:color w:val="auto"/>
          <w:sz w:val="24"/>
          <w:szCs w:val="24"/>
          <w:lang w:val="ru-RU" w:eastAsia="ru-RU"/>
        </w:rPr>
        <w:t>Водоотведение</w:t>
      </w:r>
    </w:p>
    <w:p w14:paraId="45F9F0C0">
      <w:pPr>
        <w:widowControl/>
        <w:autoSpaceDE/>
        <w:autoSpaceDN/>
        <w:spacing w:line="276" w:lineRule="auto"/>
        <w:ind w:firstLine="567"/>
        <w:jc w:val="both"/>
        <w:rPr>
          <w:sz w:val="28"/>
          <w:szCs w:val="28"/>
          <w:lang w:val="ru-RU" w:eastAsia="ru-RU"/>
        </w:rPr>
      </w:pPr>
      <w:r>
        <w:rPr>
          <w:sz w:val="28"/>
          <w:szCs w:val="28"/>
          <w:lang w:val="ru-RU" w:eastAsia="ru-RU"/>
        </w:rPr>
        <w:t>Централизованная система хозяйственно-бытовой канализации в селе Сухарево отсутствует. Водоотведение на территории муниципального образования осуществляется посредством септиков. Сбор жидких бытовых отходов осуществляется ПП «Валуйский район» филиала «Восточный» ГУП «Белоблводаканал» и МУП «Уразовское ЖКХ». Прием жидких бытовых отходов осуществляется на очистные сооружения канализации, расположенных в п. Дружба, находящихся в хозяйственном ведении ПП «Валуйский район» филиала «Восточный» ГУП «Белоблводаканал».</w:t>
      </w:r>
    </w:p>
    <w:p w14:paraId="4CB9A09C">
      <w:pPr>
        <w:widowControl/>
        <w:autoSpaceDE/>
        <w:autoSpaceDN/>
        <w:spacing w:line="276" w:lineRule="auto"/>
        <w:ind w:firstLine="567"/>
        <w:jc w:val="both"/>
        <w:rPr>
          <w:sz w:val="28"/>
          <w:szCs w:val="28"/>
          <w:lang w:val="ru-RU" w:eastAsia="ru-RU"/>
        </w:rPr>
      </w:pPr>
    </w:p>
    <w:p w14:paraId="14A8087A">
      <w:pPr>
        <w:pStyle w:val="4"/>
        <w:numPr>
          <w:ilvl w:val="2"/>
          <w:numId w:val="5"/>
        </w:numPr>
        <w:shd w:val="clear" w:color="auto" w:fill="FFFFFF"/>
        <w:spacing w:before="40" w:line="317" w:lineRule="exact"/>
        <w:ind w:left="1440" w:hanging="720"/>
        <w:rPr>
          <w:rFonts w:ascii="Times New Roman" w:hAnsi="Times New Roman" w:eastAsia="Times New Roman"/>
          <w:color w:val="auto"/>
          <w:sz w:val="24"/>
          <w:szCs w:val="24"/>
          <w:lang w:val="ru-RU" w:eastAsia="ru-RU"/>
        </w:rPr>
      </w:pPr>
      <w:r>
        <w:rPr>
          <w:rFonts w:ascii="Times New Roman" w:hAnsi="Times New Roman" w:eastAsia="Times New Roman"/>
          <w:color w:val="auto"/>
          <w:sz w:val="24"/>
          <w:szCs w:val="24"/>
          <w:lang w:val="ru-RU" w:eastAsia="ru-RU"/>
        </w:rPr>
        <w:t>Обработка, утилизация, обезвреживание, размещение твердых коммунальных бытовых отходов</w:t>
      </w:r>
    </w:p>
    <w:p w14:paraId="36D67781">
      <w:pPr>
        <w:jc w:val="center"/>
        <w:rPr>
          <w:b/>
          <w:bCs/>
          <w:sz w:val="24"/>
          <w:szCs w:val="24"/>
          <w:lang w:val="ru-RU"/>
        </w:rPr>
      </w:pPr>
    </w:p>
    <w:p w14:paraId="1C51795E">
      <w:pPr>
        <w:widowControl/>
        <w:autoSpaceDE/>
        <w:autoSpaceDN/>
        <w:spacing w:line="276" w:lineRule="auto"/>
        <w:ind w:firstLine="567"/>
        <w:jc w:val="both"/>
        <w:rPr>
          <w:sz w:val="28"/>
          <w:szCs w:val="28"/>
          <w:lang w:val="ru-RU" w:eastAsia="ru-RU"/>
        </w:rPr>
      </w:pPr>
      <w:r>
        <w:rPr>
          <w:sz w:val="28"/>
          <w:szCs w:val="28"/>
          <w:lang w:val="ru-RU" w:eastAsia="ru-RU"/>
        </w:rPr>
        <w:t>На территории всего муниципального округа деятельность по сбору и утилизации твердых бытовых отходов осуществляют МАУ «КСС» г. Шебекино, а также частные предприниматели, крупногабаритных отходов - МБУ «Валуйское благоустройство». Для утилизации жидкие бытовые отходы передаются вышеназванными организациями на городские очистные сооружения канализации, находящиеся в хозведении ПП «Валуйский район» филиала «Восточный» ГУП «Белоблводоканал».</w:t>
      </w:r>
    </w:p>
    <w:p w14:paraId="5ECBA84A">
      <w:pPr>
        <w:widowControl/>
        <w:autoSpaceDE/>
        <w:autoSpaceDN/>
        <w:spacing w:line="276" w:lineRule="auto"/>
        <w:ind w:firstLine="567"/>
        <w:jc w:val="both"/>
        <w:rPr>
          <w:sz w:val="28"/>
          <w:szCs w:val="28"/>
          <w:lang w:val="ru-RU" w:eastAsia="ru-RU"/>
        </w:rPr>
      </w:pPr>
    </w:p>
    <w:p w14:paraId="224B2DB2">
      <w:pPr>
        <w:pStyle w:val="4"/>
        <w:numPr>
          <w:ilvl w:val="2"/>
          <w:numId w:val="5"/>
        </w:numPr>
        <w:shd w:val="clear" w:color="auto" w:fill="FFFFFF"/>
        <w:spacing w:before="40" w:line="317" w:lineRule="exact"/>
        <w:ind w:left="1440" w:hanging="720"/>
        <w:rPr>
          <w:rFonts w:ascii="Times New Roman" w:hAnsi="Times New Roman" w:eastAsia="Times New Roman"/>
          <w:color w:val="auto"/>
          <w:sz w:val="24"/>
          <w:szCs w:val="24"/>
          <w:lang w:val="ru-RU" w:eastAsia="ru-RU"/>
        </w:rPr>
      </w:pPr>
      <w:r>
        <w:rPr>
          <w:rFonts w:ascii="Times New Roman" w:hAnsi="Times New Roman" w:eastAsia="Times New Roman"/>
          <w:color w:val="auto"/>
          <w:sz w:val="24"/>
          <w:szCs w:val="24"/>
          <w:lang w:val="ru-RU" w:eastAsia="ru-RU"/>
        </w:rPr>
        <w:t>Газоснабжение</w:t>
      </w:r>
    </w:p>
    <w:p w14:paraId="289056BC">
      <w:pPr>
        <w:widowControl/>
        <w:autoSpaceDE/>
        <w:autoSpaceDN/>
        <w:spacing w:line="276" w:lineRule="auto"/>
        <w:ind w:firstLine="567"/>
        <w:jc w:val="both"/>
        <w:rPr>
          <w:sz w:val="28"/>
          <w:szCs w:val="28"/>
          <w:lang w:val="ru-RU" w:eastAsia="ru-RU"/>
        </w:rPr>
      </w:pPr>
      <w:r>
        <w:rPr>
          <w:sz w:val="28"/>
          <w:szCs w:val="28"/>
          <w:lang w:val="ru-RU" w:eastAsia="ru-RU"/>
        </w:rPr>
        <w:t>Основным видом топлива на территории села Сухарево, как и на территории всего округа, является природный газ, транспортируемый по магистральному газопроводу "Шебелинка - Белгород – Курск - Брянск" компании ООО "Мострансгаз".</w:t>
      </w:r>
    </w:p>
    <w:p w14:paraId="3B764F77">
      <w:pPr>
        <w:widowControl/>
        <w:autoSpaceDE/>
        <w:autoSpaceDN/>
        <w:spacing w:line="276" w:lineRule="auto"/>
        <w:ind w:firstLine="567"/>
        <w:jc w:val="both"/>
        <w:rPr>
          <w:sz w:val="28"/>
          <w:szCs w:val="28"/>
          <w:lang w:val="ru-RU" w:eastAsia="ru-RU"/>
        </w:rPr>
      </w:pPr>
      <w:r>
        <w:rPr>
          <w:sz w:val="28"/>
          <w:szCs w:val="28"/>
          <w:lang w:val="ru-RU" w:eastAsia="ru-RU"/>
        </w:rPr>
        <w:t>Уровень газификации с. Сухарево составляет 100 %.</w:t>
      </w:r>
    </w:p>
    <w:p w14:paraId="5777A3C1">
      <w:pPr>
        <w:widowControl/>
        <w:autoSpaceDE/>
        <w:autoSpaceDN/>
        <w:spacing w:line="276" w:lineRule="auto"/>
        <w:ind w:firstLine="567"/>
        <w:jc w:val="both"/>
        <w:rPr>
          <w:sz w:val="28"/>
          <w:szCs w:val="28"/>
          <w:lang w:val="ru-RU" w:eastAsia="ru-RU"/>
        </w:rPr>
      </w:pPr>
      <w:r>
        <w:rPr>
          <w:sz w:val="28"/>
          <w:szCs w:val="28"/>
          <w:lang w:val="ru-RU" w:eastAsia="ru-RU"/>
        </w:rPr>
        <w:t>Основной объем газа, поступающий на жизнеобеспечение жилого фонда распределяется на эксплуатацию бытовых газовых приборов (газовые плиты, газовые колонки).</w:t>
      </w:r>
    </w:p>
    <w:p w14:paraId="1456BA9A">
      <w:pPr>
        <w:pStyle w:val="50"/>
        <w:tabs>
          <w:tab w:val="left" w:pos="1364"/>
        </w:tabs>
        <w:spacing w:before="4"/>
        <w:ind w:left="1388" w:firstLine="0"/>
        <w:rPr>
          <w:sz w:val="28"/>
          <w:lang w:val="ru-RU"/>
        </w:rPr>
      </w:pPr>
    </w:p>
    <w:p w14:paraId="6BF6C411">
      <w:pPr>
        <w:pStyle w:val="4"/>
        <w:numPr>
          <w:ilvl w:val="2"/>
          <w:numId w:val="5"/>
        </w:numPr>
        <w:shd w:val="clear" w:color="auto" w:fill="FFFFFF"/>
        <w:spacing w:before="40" w:line="317" w:lineRule="exact"/>
        <w:ind w:left="1440" w:hanging="720"/>
        <w:rPr>
          <w:rFonts w:ascii="Times New Roman" w:hAnsi="Times New Roman" w:eastAsia="Times New Roman"/>
          <w:color w:val="auto"/>
          <w:sz w:val="24"/>
          <w:szCs w:val="24"/>
          <w:lang w:val="ru-RU" w:eastAsia="ru-RU"/>
        </w:rPr>
      </w:pPr>
      <w:r>
        <w:rPr>
          <w:rFonts w:ascii="Times New Roman" w:hAnsi="Times New Roman" w:eastAsia="Times New Roman"/>
          <w:color w:val="auto"/>
          <w:sz w:val="24"/>
          <w:szCs w:val="24"/>
          <w:lang w:val="ru-RU" w:eastAsia="ru-RU"/>
        </w:rPr>
        <w:t>Электроснабжение</w:t>
      </w:r>
    </w:p>
    <w:p w14:paraId="59D5D291">
      <w:pPr>
        <w:widowControl/>
        <w:autoSpaceDE/>
        <w:autoSpaceDN/>
        <w:spacing w:line="276" w:lineRule="auto"/>
        <w:ind w:firstLine="567"/>
        <w:jc w:val="both"/>
        <w:rPr>
          <w:sz w:val="28"/>
          <w:szCs w:val="28"/>
          <w:lang w:val="ru-RU" w:eastAsia="ru-RU"/>
        </w:rPr>
      </w:pPr>
      <w:r>
        <w:rPr>
          <w:sz w:val="28"/>
          <w:szCs w:val="28"/>
          <w:lang w:val="ru-RU" w:eastAsia="ru-RU"/>
        </w:rPr>
        <w:t>Электроснабжение</w:t>
      </w:r>
      <w:r>
        <w:rPr>
          <w:sz w:val="28"/>
          <w:szCs w:val="28"/>
          <w:lang w:val="ru-RU" w:eastAsia="ru-RU"/>
        </w:rPr>
        <w:tab/>
      </w:r>
      <w:r>
        <w:rPr>
          <w:sz w:val="28"/>
          <w:szCs w:val="28"/>
          <w:lang w:val="ru-RU" w:eastAsia="ru-RU"/>
        </w:rPr>
        <w:t>села Сухарево ведётся Валуйскими электрическими сетями Валуйского РЭС филиала ПАО «РоссетиЦентр» - «Белгородэнерго».</w:t>
      </w:r>
    </w:p>
    <w:p w14:paraId="1C9234FD">
      <w:pPr>
        <w:widowControl/>
        <w:autoSpaceDE/>
        <w:autoSpaceDN/>
        <w:spacing w:line="276" w:lineRule="auto"/>
        <w:ind w:firstLine="567"/>
        <w:jc w:val="both"/>
        <w:rPr>
          <w:sz w:val="28"/>
          <w:szCs w:val="28"/>
          <w:lang w:val="ru-RU" w:eastAsia="ru-RU"/>
        </w:rPr>
      </w:pPr>
      <w:r>
        <w:rPr>
          <w:sz w:val="28"/>
          <w:szCs w:val="28"/>
          <w:lang w:val="ru-RU" w:eastAsia="ru-RU"/>
        </w:rPr>
        <w:t>Основным поставщиком электрической энергии потребителям является АО «Белгородэнергосбыт» Валуйский участок.</w:t>
      </w:r>
    </w:p>
    <w:p w14:paraId="59F1CE3D">
      <w:pPr>
        <w:widowControl/>
        <w:autoSpaceDE/>
        <w:autoSpaceDN/>
        <w:spacing w:line="276" w:lineRule="auto"/>
        <w:ind w:firstLine="567"/>
        <w:jc w:val="both"/>
        <w:rPr>
          <w:sz w:val="28"/>
          <w:szCs w:val="28"/>
          <w:lang w:val="ru-RU" w:eastAsia="ru-RU"/>
        </w:rPr>
      </w:pPr>
      <w:r>
        <w:rPr>
          <w:sz w:val="28"/>
          <w:szCs w:val="28"/>
          <w:lang w:val="ru-RU" w:eastAsia="ru-RU"/>
        </w:rPr>
        <w:t>В настоящее время потребители села Сухарево питаются по линии ВЛ 10 кВ 5 Уразово от Подстанции 35/10 Уразово.</w:t>
      </w:r>
    </w:p>
    <w:p w14:paraId="318E3787">
      <w:pPr>
        <w:widowControl/>
        <w:autoSpaceDE/>
        <w:autoSpaceDN/>
        <w:spacing w:line="276" w:lineRule="auto"/>
        <w:ind w:firstLine="567"/>
        <w:jc w:val="both"/>
        <w:rPr>
          <w:sz w:val="28"/>
          <w:szCs w:val="28"/>
          <w:lang w:val="ru-RU" w:eastAsia="ru-RU"/>
        </w:rPr>
      </w:pPr>
      <w:r>
        <w:rPr>
          <w:sz w:val="28"/>
          <w:szCs w:val="28"/>
          <w:lang w:val="ru-RU" w:eastAsia="ru-RU"/>
        </w:rPr>
        <w:t>Уличное освещение с. Сухарево предусмотрено светильниками типа СППР – 125 и CПП – 20 ОМ.</w:t>
      </w:r>
    </w:p>
    <w:p w14:paraId="2442C00A">
      <w:pPr>
        <w:pStyle w:val="3"/>
        <w:numPr>
          <w:ilvl w:val="0"/>
          <w:numId w:val="4"/>
        </w:numPr>
        <w:shd w:val="clear" w:color="auto" w:fill="FFFFFF"/>
        <w:spacing w:before="240"/>
        <w:ind w:left="735" w:hanging="375"/>
        <w:jc w:val="center"/>
        <w:rPr>
          <w:rFonts w:ascii="Times New Roman" w:hAnsi="Times New Roman" w:cs="Times New Roman"/>
          <w:color w:val="auto"/>
          <w:sz w:val="28"/>
          <w:lang w:val="ru-RU"/>
        </w:rPr>
      </w:pPr>
      <w:bookmarkStart w:id="5" w:name="_Toc510191402"/>
      <w:r>
        <w:rPr>
          <w:rFonts w:ascii="Times New Roman" w:hAnsi="Times New Roman" w:cs="Times New Roman"/>
          <w:color w:val="auto"/>
          <w:sz w:val="28"/>
          <w:lang w:val="ru-RU"/>
        </w:rPr>
        <w:t xml:space="preserve">Анализ состояния объектов транспортной инфраструктуры </w:t>
      </w:r>
    </w:p>
    <w:bookmarkEnd w:id="5"/>
    <w:p w14:paraId="14CDACFB">
      <w:pPr>
        <w:widowControl/>
        <w:autoSpaceDE/>
        <w:autoSpaceDN/>
        <w:spacing w:line="276" w:lineRule="auto"/>
        <w:ind w:firstLine="567"/>
        <w:jc w:val="both"/>
        <w:rPr>
          <w:sz w:val="28"/>
          <w:szCs w:val="28"/>
          <w:lang w:val="ru-RU" w:eastAsia="ru-RU"/>
        </w:rPr>
      </w:pPr>
      <w:r>
        <w:rPr>
          <w:sz w:val="28"/>
          <w:szCs w:val="28"/>
          <w:lang w:val="ru-RU" w:eastAsia="ru-RU"/>
        </w:rPr>
        <w:t>Внешние транспортно-экономические связи с. Сухарево Валуйского муниципального округа с другими регионами осуществляются одним видом транспорта: автомобильным.</w:t>
      </w:r>
    </w:p>
    <w:p w14:paraId="65FBF73A">
      <w:pPr>
        <w:widowControl/>
        <w:autoSpaceDE/>
        <w:autoSpaceDN/>
        <w:spacing w:line="276" w:lineRule="auto"/>
        <w:ind w:firstLine="567"/>
        <w:jc w:val="both"/>
        <w:rPr>
          <w:sz w:val="28"/>
          <w:szCs w:val="28"/>
          <w:lang w:val="ru-RU" w:eastAsia="ru-RU"/>
        </w:rPr>
      </w:pPr>
      <w:r>
        <w:rPr>
          <w:sz w:val="28"/>
          <w:szCs w:val="28"/>
          <w:lang w:val="ru-RU" w:eastAsia="ru-RU"/>
        </w:rPr>
        <w:t xml:space="preserve">Воздушный и железнодорожный транспорт в селе отсутствуют. </w:t>
      </w:r>
    </w:p>
    <w:p w14:paraId="56D84F39">
      <w:pPr>
        <w:widowControl/>
        <w:autoSpaceDE/>
        <w:autoSpaceDN/>
        <w:spacing w:line="276" w:lineRule="auto"/>
        <w:ind w:firstLine="567"/>
        <w:jc w:val="both"/>
        <w:rPr>
          <w:sz w:val="28"/>
          <w:szCs w:val="28"/>
          <w:lang w:val="ru-RU" w:eastAsia="ru-RU"/>
        </w:rPr>
      </w:pPr>
      <w:r>
        <w:rPr>
          <w:sz w:val="28"/>
          <w:szCs w:val="28"/>
          <w:lang w:val="ru-RU" w:eastAsia="ru-RU"/>
        </w:rPr>
        <w:t>На сегодняшний день все улицы и дороги населённого пункта с. Сухарево имеют твёрдое асфальтовое покрытие, большинство из которых находятся в нормальном состоянии.</w:t>
      </w:r>
    </w:p>
    <w:p w14:paraId="28B8ADC7">
      <w:pPr>
        <w:widowControl/>
        <w:autoSpaceDE/>
        <w:autoSpaceDN/>
        <w:spacing w:line="276" w:lineRule="auto"/>
        <w:ind w:firstLine="567"/>
        <w:jc w:val="both"/>
        <w:rPr>
          <w:sz w:val="28"/>
          <w:szCs w:val="28"/>
          <w:lang w:val="ru-RU" w:eastAsia="ru-RU"/>
        </w:rPr>
      </w:pPr>
      <w:r>
        <w:rPr>
          <w:sz w:val="28"/>
          <w:szCs w:val="28"/>
          <w:lang w:val="ru-RU" w:eastAsia="ru-RU"/>
        </w:rPr>
        <w:t>Улично-дорожная сеть с. Сухарево не перегружена автотранспортом, отсутствуют заторы.</w:t>
      </w:r>
    </w:p>
    <w:p w14:paraId="6F2478D9">
      <w:pPr>
        <w:widowControl/>
        <w:autoSpaceDE/>
        <w:autoSpaceDN/>
        <w:spacing w:line="276" w:lineRule="auto"/>
        <w:ind w:firstLine="567"/>
        <w:jc w:val="both"/>
        <w:rPr>
          <w:sz w:val="28"/>
          <w:szCs w:val="28"/>
          <w:lang w:val="ru-RU" w:eastAsia="ru-RU"/>
        </w:rPr>
      </w:pPr>
      <w:r>
        <w:rPr>
          <w:sz w:val="28"/>
          <w:szCs w:val="28"/>
          <w:lang w:val="ru-RU" w:eastAsia="ru-RU"/>
        </w:rPr>
        <w:t>Основным видом пассажирского транспорта для с. Сухарево является муниципальный маршрут №108 «Валуйки-Яблоново-Орехово-Сухарево», который связывают село с опорным населённым пунктом.</w:t>
      </w:r>
    </w:p>
    <w:p w14:paraId="3B4715F1">
      <w:pPr>
        <w:widowControl/>
        <w:autoSpaceDE/>
        <w:autoSpaceDN/>
        <w:spacing w:line="276" w:lineRule="auto"/>
        <w:ind w:firstLine="567"/>
        <w:jc w:val="both"/>
        <w:rPr>
          <w:sz w:val="28"/>
          <w:szCs w:val="28"/>
          <w:lang w:val="ru-RU" w:eastAsia="ru-RU"/>
        </w:rPr>
      </w:pPr>
      <w:r>
        <w:rPr>
          <w:sz w:val="28"/>
          <w:szCs w:val="28"/>
          <w:lang w:val="ru-RU" w:eastAsia="ru-RU"/>
        </w:rPr>
        <w:t>Большинство трудовых передвижений приходится на личный автотранспорт и пешеходные сообщения.</w:t>
      </w:r>
    </w:p>
    <w:p w14:paraId="61970A00">
      <w:pPr>
        <w:pStyle w:val="3"/>
        <w:numPr>
          <w:ilvl w:val="0"/>
          <w:numId w:val="4"/>
        </w:numPr>
        <w:shd w:val="clear" w:color="auto" w:fill="FFFFFF"/>
        <w:spacing w:before="240"/>
        <w:ind w:left="735" w:hanging="375"/>
        <w:jc w:val="center"/>
        <w:rPr>
          <w:rFonts w:ascii="Times New Roman" w:hAnsi="Times New Roman" w:cs="Times New Roman"/>
          <w:color w:val="auto"/>
          <w:sz w:val="28"/>
          <w:lang w:val="ru-RU"/>
        </w:rPr>
      </w:pPr>
      <w:r>
        <w:rPr>
          <w:rFonts w:ascii="Times New Roman" w:hAnsi="Times New Roman" w:cs="Times New Roman"/>
          <w:color w:val="auto"/>
          <w:sz w:val="28"/>
          <w:lang w:val="ru-RU"/>
        </w:rPr>
        <w:t xml:space="preserve">Анализ состояния объектов социальной инфраструктуры </w:t>
      </w:r>
    </w:p>
    <w:p w14:paraId="535A7618">
      <w:pPr>
        <w:pStyle w:val="30"/>
        <w:spacing w:before="1" w:line="276" w:lineRule="auto"/>
        <w:ind w:left="1004" w:right="113"/>
        <w:rPr>
          <w:b/>
          <w:i/>
          <w:sz w:val="24"/>
          <w:szCs w:val="24"/>
          <w:lang w:val="ru-RU"/>
        </w:rPr>
      </w:pPr>
      <w:r>
        <w:rPr>
          <w:b/>
          <w:i/>
          <w:sz w:val="24"/>
          <w:szCs w:val="24"/>
          <w:lang w:val="ru-RU"/>
        </w:rPr>
        <w:t>Образование</w:t>
      </w:r>
    </w:p>
    <w:p w14:paraId="6B6980CB">
      <w:pPr>
        <w:widowControl/>
        <w:autoSpaceDE/>
        <w:autoSpaceDN/>
        <w:spacing w:line="276" w:lineRule="auto"/>
        <w:ind w:firstLine="567"/>
        <w:jc w:val="both"/>
        <w:rPr>
          <w:sz w:val="28"/>
          <w:szCs w:val="28"/>
          <w:lang w:val="ru-RU" w:eastAsia="ru-RU"/>
        </w:rPr>
      </w:pPr>
      <w:r>
        <w:rPr>
          <w:sz w:val="28"/>
          <w:szCs w:val="28"/>
          <w:lang w:val="ru-RU" w:eastAsia="ru-RU"/>
        </w:rPr>
        <w:t xml:space="preserve">На территории с. Сухарево детей в возрасте от 0 до 4 лет - 3 человека, в возрасте от 4 до 18 лет - 37 человек. </w:t>
      </w:r>
    </w:p>
    <w:p w14:paraId="26E0A37A">
      <w:pPr>
        <w:widowControl/>
        <w:autoSpaceDE/>
        <w:autoSpaceDN/>
        <w:spacing w:line="276" w:lineRule="auto"/>
        <w:ind w:firstLine="567"/>
        <w:jc w:val="both"/>
        <w:rPr>
          <w:sz w:val="28"/>
          <w:szCs w:val="28"/>
          <w:lang w:val="ru-RU" w:eastAsia="ru-RU"/>
        </w:rPr>
      </w:pPr>
      <w:r>
        <w:rPr>
          <w:sz w:val="28"/>
          <w:szCs w:val="28"/>
          <w:lang w:val="ru-RU" w:eastAsia="ru-RU"/>
        </w:rPr>
        <w:t>Система образования населения с. Сухарево Валуйского муниципального округа представлена учреждением дошкольного образования детей - МДОУ детский сад с. Сухарево Валуйского муниципального округа Белгородской области.</w:t>
      </w:r>
    </w:p>
    <w:p w14:paraId="7BB5D380">
      <w:pPr>
        <w:widowControl/>
        <w:autoSpaceDE/>
        <w:autoSpaceDN/>
        <w:spacing w:line="276" w:lineRule="auto"/>
        <w:ind w:firstLine="567"/>
        <w:jc w:val="both"/>
        <w:rPr>
          <w:sz w:val="28"/>
          <w:szCs w:val="28"/>
          <w:lang w:val="ru-RU" w:eastAsia="ru-RU"/>
        </w:rPr>
      </w:pPr>
    </w:p>
    <w:p w14:paraId="7C3B3A66">
      <w:pPr>
        <w:widowControl/>
        <w:autoSpaceDE/>
        <w:autoSpaceDN/>
        <w:spacing w:line="276" w:lineRule="auto"/>
        <w:ind w:firstLine="567"/>
        <w:jc w:val="center"/>
        <w:rPr>
          <w:b/>
          <w:sz w:val="24"/>
          <w:szCs w:val="24"/>
          <w:lang w:val="ru-RU" w:eastAsia="ru-RU"/>
        </w:rPr>
      </w:pPr>
      <w:r>
        <w:rPr>
          <w:b/>
          <w:sz w:val="24"/>
          <w:szCs w:val="24"/>
          <w:lang w:val="ru-RU" w:eastAsia="ru-RU"/>
        </w:rPr>
        <w:t>Перечень и характеристика объектов дошкольного образования населённого пункта</w:t>
      </w:r>
    </w:p>
    <w:p w14:paraId="51F9F24D">
      <w:pPr>
        <w:widowControl/>
        <w:autoSpaceDE/>
        <w:autoSpaceDN/>
        <w:spacing w:line="276" w:lineRule="auto"/>
        <w:ind w:firstLine="567"/>
        <w:jc w:val="center"/>
        <w:rPr>
          <w:b/>
          <w:sz w:val="24"/>
          <w:szCs w:val="24"/>
          <w:lang w:val="ru-RU" w:eastAsia="ru-RU"/>
        </w:rPr>
      </w:pPr>
      <w:r>
        <w:rPr>
          <w:b/>
          <w:sz w:val="24"/>
          <w:szCs w:val="24"/>
          <w:lang w:val="ru-RU" w:eastAsia="ru-RU"/>
        </w:rPr>
        <w:t>с. Сухарево</w:t>
      </w:r>
    </w:p>
    <w:tbl>
      <w:tblPr>
        <w:tblStyle w:val="11"/>
        <w:tblW w:w="4832"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7"/>
        <w:gridCol w:w="1138"/>
        <w:gridCol w:w="1560"/>
        <w:gridCol w:w="1421"/>
        <w:gridCol w:w="1135"/>
        <w:gridCol w:w="1125"/>
      </w:tblGrid>
      <w:tr w14:paraId="3DCA95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3" w:hRule="atLeast"/>
        </w:trPr>
        <w:tc>
          <w:tcPr>
            <w:tcW w:w="1831" w:type="pct"/>
            <w:shd w:val="clear" w:color="auto" w:fill="auto"/>
            <w:vAlign w:val="center"/>
          </w:tcPr>
          <w:p w14:paraId="7EB209C7">
            <w:pPr>
              <w:rPr>
                <w:b/>
                <w:sz w:val="20"/>
                <w:szCs w:val="20"/>
                <w:shd w:val="clear" w:color="auto" w:fill="FFFFFF"/>
                <w:lang w:val="ru-RU"/>
              </w:rPr>
            </w:pPr>
            <w:r>
              <w:rPr>
                <w:b/>
                <w:sz w:val="20"/>
                <w:szCs w:val="20"/>
                <w:shd w:val="clear" w:color="auto" w:fill="FFFFFF"/>
                <w:lang w:val="ru-RU"/>
              </w:rPr>
              <w:t>Наименование ДДУ</w:t>
            </w:r>
          </w:p>
        </w:tc>
        <w:tc>
          <w:tcPr>
            <w:tcW w:w="565" w:type="pct"/>
            <w:shd w:val="clear" w:color="auto" w:fill="auto"/>
            <w:vAlign w:val="center"/>
          </w:tcPr>
          <w:p w14:paraId="1BE0BD40">
            <w:pPr>
              <w:rPr>
                <w:b/>
                <w:sz w:val="20"/>
                <w:szCs w:val="20"/>
                <w:shd w:val="clear" w:color="auto" w:fill="FFFFFF"/>
                <w:lang w:val="ru-RU"/>
              </w:rPr>
            </w:pPr>
            <w:r>
              <w:rPr>
                <w:b/>
                <w:sz w:val="20"/>
                <w:szCs w:val="20"/>
                <w:shd w:val="clear" w:color="auto" w:fill="FFFFFF"/>
                <w:lang w:val="ru-RU"/>
              </w:rPr>
              <w:t>Год стр-ва</w:t>
            </w:r>
          </w:p>
        </w:tc>
        <w:tc>
          <w:tcPr>
            <w:tcW w:w="775" w:type="pct"/>
            <w:shd w:val="clear" w:color="auto" w:fill="auto"/>
            <w:vAlign w:val="center"/>
          </w:tcPr>
          <w:p w14:paraId="0758893F">
            <w:pPr>
              <w:rPr>
                <w:b/>
                <w:sz w:val="20"/>
                <w:szCs w:val="20"/>
                <w:shd w:val="clear" w:color="auto" w:fill="FFFFFF"/>
                <w:lang w:val="ru-RU"/>
              </w:rPr>
            </w:pPr>
            <w:r>
              <w:rPr>
                <w:b/>
                <w:sz w:val="20"/>
                <w:szCs w:val="20"/>
                <w:shd w:val="clear" w:color="auto" w:fill="FFFFFF"/>
              </w:rPr>
              <w:t>S</w:t>
            </w:r>
            <w:r>
              <w:rPr>
                <w:b/>
                <w:sz w:val="20"/>
                <w:szCs w:val="20"/>
                <w:shd w:val="clear" w:color="auto" w:fill="FFFFFF"/>
                <w:lang w:val="ru-RU"/>
              </w:rPr>
              <w:t xml:space="preserve"> общ, м</w:t>
            </w:r>
            <w:r>
              <w:rPr>
                <w:b/>
                <w:sz w:val="20"/>
                <w:szCs w:val="20"/>
                <w:shd w:val="clear" w:color="auto" w:fill="FFFFFF"/>
                <w:vertAlign w:val="superscript"/>
                <w:lang w:val="ru-RU"/>
              </w:rPr>
              <w:t>2</w:t>
            </w:r>
          </w:p>
        </w:tc>
        <w:tc>
          <w:tcPr>
            <w:tcW w:w="706" w:type="pct"/>
            <w:shd w:val="clear" w:color="auto" w:fill="auto"/>
            <w:vAlign w:val="center"/>
          </w:tcPr>
          <w:p w14:paraId="22293968">
            <w:pPr>
              <w:rPr>
                <w:b/>
                <w:sz w:val="20"/>
                <w:szCs w:val="20"/>
                <w:shd w:val="clear" w:color="auto" w:fill="FFFFFF"/>
                <w:lang w:val="ru-RU"/>
              </w:rPr>
            </w:pPr>
            <w:r>
              <w:rPr>
                <w:b/>
                <w:sz w:val="20"/>
                <w:szCs w:val="20"/>
                <w:shd w:val="clear" w:color="auto" w:fill="FFFFFF"/>
                <w:lang w:val="ru-RU"/>
              </w:rPr>
              <w:t>Кол-во мест</w:t>
            </w:r>
          </w:p>
        </w:tc>
        <w:tc>
          <w:tcPr>
            <w:tcW w:w="564" w:type="pct"/>
            <w:shd w:val="clear" w:color="auto" w:fill="auto"/>
            <w:vAlign w:val="center"/>
          </w:tcPr>
          <w:p w14:paraId="6DEED9F4">
            <w:pPr>
              <w:rPr>
                <w:b/>
                <w:sz w:val="20"/>
                <w:szCs w:val="20"/>
                <w:shd w:val="clear" w:color="auto" w:fill="FFFFFF"/>
                <w:lang w:val="ru-RU"/>
              </w:rPr>
            </w:pPr>
            <w:r>
              <w:rPr>
                <w:b/>
                <w:sz w:val="20"/>
                <w:szCs w:val="20"/>
                <w:shd w:val="clear" w:color="auto" w:fill="FFFFFF"/>
                <w:lang w:val="ru-RU"/>
              </w:rPr>
              <w:t>Дети, чел</w:t>
            </w:r>
          </w:p>
          <w:p w14:paraId="500AF336">
            <w:pPr>
              <w:rPr>
                <w:b/>
                <w:sz w:val="20"/>
                <w:szCs w:val="20"/>
                <w:shd w:val="clear" w:color="auto" w:fill="FFFFFF"/>
                <w:lang w:val="ru-RU"/>
              </w:rPr>
            </w:pPr>
            <w:r>
              <w:rPr>
                <w:b/>
                <w:sz w:val="20"/>
                <w:szCs w:val="20"/>
                <w:shd w:val="clear" w:color="auto" w:fill="FFFFFF"/>
                <w:lang w:val="ru-RU"/>
              </w:rPr>
              <w:t>(посещаемость)</w:t>
            </w:r>
          </w:p>
        </w:tc>
        <w:tc>
          <w:tcPr>
            <w:tcW w:w="560" w:type="pct"/>
            <w:shd w:val="clear" w:color="auto" w:fill="auto"/>
            <w:vAlign w:val="center"/>
          </w:tcPr>
          <w:p w14:paraId="4B0824BC">
            <w:pPr>
              <w:rPr>
                <w:b/>
                <w:sz w:val="20"/>
                <w:szCs w:val="20"/>
                <w:shd w:val="clear" w:color="auto" w:fill="FFFFFF"/>
                <w:lang w:val="ru-RU"/>
              </w:rPr>
            </w:pPr>
            <w:r>
              <w:rPr>
                <w:b/>
                <w:sz w:val="20"/>
                <w:szCs w:val="20"/>
                <w:shd w:val="clear" w:color="auto" w:fill="FFFFFF"/>
                <w:lang w:val="ru-RU"/>
              </w:rPr>
              <w:t>Наполняемость,%</w:t>
            </w:r>
          </w:p>
        </w:tc>
      </w:tr>
      <w:tr w14:paraId="1FFFF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3" w:hRule="atLeast"/>
        </w:trPr>
        <w:tc>
          <w:tcPr>
            <w:tcW w:w="1831" w:type="pct"/>
            <w:shd w:val="clear" w:color="auto" w:fill="auto"/>
            <w:vAlign w:val="center"/>
          </w:tcPr>
          <w:p w14:paraId="0CB2F788">
            <w:pPr>
              <w:rPr>
                <w:shd w:val="clear" w:color="auto" w:fill="FFFFFF"/>
                <w:lang w:val="ru-RU"/>
              </w:rPr>
            </w:pPr>
            <w:r>
              <w:rPr>
                <w:shd w:val="clear" w:color="auto" w:fill="FFFFFF"/>
                <w:lang w:val="ru-RU"/>
              </w:rPr>
              <w:t>МДОУ детский сад с. Сухарево Валуйского муниципального округа Белгородской области</w:t>
            </w:r>
          </w:p>
        </w:tc>
        <w:tc>
          <w:tcPr>
            <w:tcW w:w="565" w:type="pct"/>
            <w:shd w:val="clear" w:color="auto" w:fill="auto"/>
            <w:vAlign w:val="center"/>
          </w:tcPr>
          <w:p w14:paraId="42BEDD82">
            <w:pPr>
              <w:jc w:val="center"/>
              <w:rPr>
                <w:shd w:val="clear" w:color="auto" w:fill="FFFFFF"/>
                <w:lang w:val="ru-RU"/>
              </w:rPr>
            </w:pPr>
            <w:r>
              <w:rPr>
                <w:shd w:val="clear" w:color="auto" w:fill="FFFFFF"/>
                <w:lang w:val="ru-RU"/>
              </w:rPr>
              <w:t>1986</w:t>
            </w:r>
          </w:p>
        </w:tc>
        <w:tc>
          <w:tcPr>
            <w:tcW w:w="775" w:type="pct"/>
            <w:shd w:val="clear" w:color="auto" w:fill="auto"/>
            <w:vAlign w:val="center"/>
          </w:tcPr>
          <w:p w14:paraId="5D8CB0E4">
            <w:pPr>
              <w:jc w:val="center"/>
              <w:rPr>
                <w:shd w:val="clear" w:color="auto" w:fill="FFFFFF"/>
                <w:lang w:val="ru-RU"/>
              </w:rPr>
            </w:pPr>
            <w:r>
              <w:rPr>
                <w:shd w:val="clear" w:color="auto" w:fill="FFFFFF"/>
                <w:lang w:val="ru-RU"/>
              </w:rPr>
              <w:t>317,9</w:t>
            </w:r>
          </w:p>
        </w:tc>
        <w:tc>
          <w:tcPr>
            <w:tcW w:w="706" w:type="pct"/>
            <w:shd w:val="clear" w:color="auto" w:fill="auto"/>
            <w:vAlign w:val="center"/>
          </w:tcPr>
          <w:p w14:paraId="35A9422F">
            <w:pPr>
              <w:jc w:val="center"/>
              <w:rPr>
                <w:shd w:val="clear" w:color="auto" w:fill="FFFFFF"/>
                <w:lang w:val="ru-RU"/>
              </w:rPr>
            </w:pPr>
            <w:r>
              <w:rPr>
                <w:shd w:val="clear" w:color="auto" w:fill="FFFFFF"/>
                <w:lang w:val="ru-RU"/>
              </w:rPr>
              <w:t>20</w:t>
            </w:r>
          </w:p>
        </w:tc>
        <w:tc>
          <w:tcPr>
            <w:tcW w:w="564" w:type="pct"/>
            <w:shd w:val="clear" w:color="auto" w:fill="auto"/>
            <w:vAlign w:val="center"/>
          </w:tcPr>
          <w:p w14:paraId="3C51B7B2">
            <w:pPr>
              <w:jc w:val="center"/>
              <w:rPr>
                <w:shd w:val="clear" w:color="auto" w:fill="FFFFFF"/>
                <w:lang w:val="ru-RU"/>
              </w:rPr>
            </w:pPr>
            <w:r>
              <w:rPr>
                <w:shd w:val="clear" w:color="auto" w:fill="FFFFFF"/>
                <w:lang w:val="ru-RU"/>
              </w:rPr>
              <w:t>9</w:t>
            </w:r>
          </w:p>
        </w:tc>
        <w:tc>
          <w:tcPr>
            <w:tcW w:w="560" w:type="pct"/>
            <w:shd w:val="clear" w:color="auto" w:fill="auto"/>
            <w:vAlign w:val="center"/>
          </w:tcPr>
          <w:p w14:paraId="7F0E0659">
            <w:pPr>
              <w:jc w:val="center"/>
              <w:rPr>
                <w:shd w:val="clear" w:color="auto" w:fill="FFFFFF"/>
                <w:lang w:val="ru-RU"/>
              </w:rPr>
            </w:pPr>
            <w:r>
              <w:rPr>
                <w:shd w:val="clear" w:color="auto" w:fill="FFFFFF"/>
                <w:lang w:val="ru-RU"/>
              </w:rPr>
              <w:t>45</w:t>
            </w:r>
          </w:p>
        </w:tc>
      </w:tr>
    </w:tbl>
    <w:p w14:paraId="7E1F2D4A">
      <w:pPr>
        <w:widowControl/>
        <w:autoSpaceDE/>
        <w:autoSpaceDN/>
        <w:spacing w:line="276" w:lineRule="auto"/>
        <w:ind w:firstLine="567"/>
        <w:jc w:val="both"/>
        <w:rPr>
          <w:sz w:val="28"/>
          <w:szCs w:val="28"/>
          <w:lang w:val="ru-RU" w:eastAsia="ru-RU"/>
        </w:rPr>
      </w:pPr>
    </w:p>
    <w:p w14:paraId="40A6EBD6">
      <w:pPr>
        <w:widowControl/>
        <w:autoSpaceDE/>
        <w:autoSpaceDN/>
        <w:spacing w:line="276" w:lineRule="auto"/>
        <w:ind w:firstLine="567"/>
        <w:jc w:val="both"/>
        <w:rPr>
          <w:sz w:val="28"/>
          <w:szCs w:val="28"/>
          <w:lang w:val="ru-RU" w:eastAsia="ru-RU"/>
        </w:rPr>
      </w:pPr>
      <w:r>
        <w:rPr>
          <w:sz w:val="28"/>
          <w:szCs w:val="28"/>
          <w:lang w:val="ru-RU" w:eastAsia="ru-RU"/>
        </w:rPr>
        <w:t>Дети школьного возраста посещают занятия в МОУ «Борчанская СОШ» Валуйского муниципального округа Белгородской области, подвоз учеников до с. Сухарево осуществляется школьным автобусом.</w:t>
      </w:r>
    </w:p>
    <w:p w14:paraId="73CFB7B1">
      <w:pPr>
        <w:widowControl/>
        <w:autoSpaceDE/>
        <w:autoSpaceDN/>
        <w:spacing w:line="276" w:lineRule="auto"/>
        <w:ind w:firstLine="567"/>
        <w:jc w:val="both"/>
        <w:rPr>
          <w:sz w:val="28"/>
          <w:szCs w:val="28"/>
          <w:lang w:val="ru-RU" w:eastAsia="ru-RU"/>
        </w:rPr>
      </w:pPr>
      <w:r>
        <w:rPr>
          <w:sz w:val="28"/>
          <w:szCs w:val="28"/>
          <w:lang w:val="ru-RU" w:eastAsia="ru-RU"/>
        </w:rPr>
        <w:t>Дополнительное образование на территории с. Сухарево отсутствует. Все учреждения дополнительного образования находятся в г. Валуйки.</w:t>
      </w:r>
    </w:p>
    <w:p w14:paraId="41BD7D1E">
      <w:pPr>
        <w:jc w:val="center"/>
        <w:rPr>
          <w:b/>
          <w:bCs/>
          <w:lang w:val="ru-RU"/>
        </w:rPr>
      </w:pPr>
    </w:p>
    <w:p w14:paraId="4C1D0FDE">
      <w:pPr>
        <w:pStyle w:val="30"/>
        <w:spacing w:before="1" w:line="276" w:lineRule="auto"/>
        <w:ind w:left="1004" w:right="113"/>
        <w:rPr>
          <w:b/>
          <w:i/>
          <w:sz w:val="24"/>
          <w:szCs w:val="24"/>
          <w:lang w:val="ru-RU"/>
        </w:rPr>
      </w:pPr>
      <w:r>
        <w:rPr>
          <w:b/>
          <w:i/>
          <w:sz w:val="24"/>
          <w:szCs w:val="24"/>
          <w:lang w:val="ru-RU"/>
        </w:rPr>
        <w:t>Медицинские учреждения</w:t>
      </w:r>
    </w:p>
    <w:p w14:paraId="71860597">
      <w:pPr>
        <w:widowControl/>
        <w:autoSpaceDE/>
        <w:autoSpaceDN/>
        <w:spacing w:line="276" w:lineRule="auto"/>
        <w:ind w:firstLine="567"/>
        <w:jc w:val="both"/>
        <w:rPr>
          <w:sz w:val="28"/>
          <w:szCs w:val="28"/>
          <w:lang w:val="ru-RU" w:eastAsia="ru-RU"/>
        </w:rPr>
      </w:pPr>
      <w:r>
        <w:rPr>
          <w:sz w:val="28"/>
          <w:szCs w:val="28"/>
          <w:lang w:val="ru-RU" w:eastAsia="ru-RU"/>
        </w:rPr>
        <w:t>На территории с. Сухарево имеется фельдшерско-акушерский пункт, представленный 2 единицами персонала, который в смену принимает в среднем 10 человек:</w:t>
      </w:r>
    </w:p>
    <w:tbl>
      <w:tblPr>
        <w:tblStyle w:val="11"/>
        <w:tblW w:w="4832" w:type="pct"/>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97"/>
        <w:gridCol w:w="2670"/>
        <w:gridCol w:w="1590"/>
        <w:gridCol w:w="1723"/>
        <w:gridCol w:w="1681"/>
        <w:gridCol w:w="1905"/>
      </w:tblGrid>
      <w:tr w14:paraId="737B2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13" w:hRule="atLeast"/>
        </w:trPr>
        <w:tc>
          <w:tcPr>
            <w:tcW w:w="247" w:type="pct"/>
            <w:vMerge w:val="restart"/>
            <w:shd w:val="clear" w:color="auto" w:fill="auto"/>
            <w:vAlign w:val="center"/>
          </w:tcPr>
          <w:p w14:paraId="306F5291">
            <w:pPr>
              <w:rPr>
                <w:b/>
                <w:sz w:val="20"/>
                <w:szCs w:val="20"/>
                <w:shd w:val="clear" w:color="auto" w:fill="FFFFFF"/>
                <w:lang w:val="ru-RU"/>
              </w:rPr>
            </w:pPr>
            <w:r>
              <w:rPr>
                <w:b/>
                <w:sz w:val="20"/>
                <w:szCs w:val="20"/>
                <w:shd w:val="clear" w:color="auto" w:fill="FFFFFF"/>
                <w:lang w:val="ru-RU"/>
              </w:rPr>
              <w:t>№</w:t>
            </w:r>
          </w:p>
          <w:p w14:paraId="519CA26A">
            <w:pPr>
              <w:rPr>
                <w:b/>
                <w:sz w:val="20"/>
                <w:szCs w:val="20"/>
                <w:shd w:val="clear" w:color="auto" w:fill="FFFFFF"/>
                <w:lang w:val="ru-RU"/>
              </w:rPr>
            </w:pPr>
            <w:r>
              <w:rPr>
                <w:b/>
                <w:sz w:val="20"/>
                <w:szCs w:val="20"/>
                <w:shd w:val="clear" w:color="auto" w:fill="FFFFFF"/>
                <w:lang w:val="ru-RU"/>
              </w:rPr>
              <w:t>п.п</w:t>
            </w:r>
          </w:p>
        </w:tc>
        <w:tc>
          <w:tcPr>
            <w:tcW w:w="1326" w:type="pct"/>
            <w:vMerge w:val="restart"/>
            <w:shd w:val="clear" w:color="auto" w:fill="auto"/>
            <w:vAlign w:val="center"/>
          </w:tcPr>
          <w:p w14:paraId="23542CD8">
            <w:pPr>
              <w:rPr>
                <w:b/>
                <w:sz w:val="20"/>
                <w:szCs w:val="20"/>
                <w:shd w:val="clear" w:color="auto" w:fill="FFFFFF"/>
                <w:lang w:val="ru-RU"/>
              </w:rPr>
            </w:pPr>
            <w:r>
              <w:rPr>
                <w:b/>
                <w:sz w:val="20"/>
                <w:szCs w:val="20"/>
                <w:shd w:val="clear" w:color="auto" w:fill="FFFFFF"/>
                <w:lang w:val="ru-RU"/>
              </w:rPr>
              <w:t>Муниципальные образования</w:t>
            </w:r>
          </w:p>
        </w:tc>
        <w:tc>
          <w:tcPr>
            <w:tcW w:w="1646" w:type="pct"/>
            <w:gridSpan w:val="2"/>
            <w:shd w:val="clear" w:color="auto" w:fill="auto"/>
            <w:vAlign w:val="center"/>
          </w:tcPr>
          <w:p w14:paraId="1CDDA1FB">
            <w:pPr>
              <w:rPr>
                <w:b/>
                <w:sz w:val="20"/>
                <w:szCs w:val="20"/>
                <w:shd w:val="clear" w:color="auto" w:fill="FFFFFF"/>
                <w:lang w:val="ru-RU"/>
              </w:rPr>
            </w:pPr>
            <w:r>
              <w:rPr>
                <w:b/>
                <w:sz w:val="20"/>
                <w:szCs w:val="20"/>
                <w:shd w:val="clear" w:color="auto" w:fill="FFFFFF"/>
                <w:lang w:val="ru-RU"/>
              </w:rPr>
              <w:t xml:space="preserve">Общей врачебной практики </w:t>
            </w:r>
          </w:p>
        </w:tc>
        <w:tc>
          <w:tcPr>
            <w:tcW w:w="1781" w:type="pct"/>
            <w:gridSpan w:val="2"/>
            <w:shd w:val="clear" w:color="auto" w:fill="auto"/>
            <w:vAlign w:val="center"/>
          </w:tcPr>
          <w:p w14:paraId="6CBED2AF">
            <w:pPr>
              <w:rPr>
                <w:b/>
                <w:sz w:val="20"/>
                <w:szCs w:val="20"/>
                <w:shd w:val="clear" w:color="auto" w:fill="FFFFFF"/>
                <w:lang w:val="ru-RU"/>
              </w:rPr>
            </w:pPr>
            <w:r>
              <w:rPr>
                <w:b/>
                <w:sz w:val="20"/>
                <w:szCs w:val="20"/>
                <w:shd w:val="clear" w:color="auto" w:fill="FFFFFF"/>
                <w:lang w:val="ru-RU"/>
              </w:rPr>
              <w:t>Фельдшерские акушерские пункты</w:t>
            </w:r>
          </w:p>
        </w:tc>
      </w:tr>
      <w:tr w14:paraId="2F1590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4" w:hRule="atLeast"/>
        </w:trPr>
        <w:tc>
          <w:tcPr>
            <w:tcW w:w="247" w:type="pct"/>
            <w:vMerge w:val="continue"/>
            <w:shd w:val="clear" w:color="auto" w:fill="auto"/>
          </w:tcPr>
          <w:p w14:paraId="5DAAE4C6">
            <w:pPr>
              <w:rPr>
                <w:b/>
                <w:sz w:val="20"/>
                <w:szCs w:val="20"/>
                <w:shd w:val="clear" w:color="auto" w:fill="FFFFFF"/>
                <w:lang w:val="ru-RU"/>
              </w:rPr>
            </w:pPr>
          </w:p>
        </w:tc>
        <w:tc>
          <w:tcPr>
            <w:tcW w:w="1326" w:type="pct"/>
            <w:vMerge w:val="continue"/>
            <w:shd w:val="clear" w:color="auto" w:fill="auto"/>
            <w:vAlign w:val="center"/>
          </w:tcPr>
          <w:p w14:paraId="044A525F">
            <w:pPr>
              <w:rPr>
                <w:b/>
                <w:sz w:val="20"/>
                <w:szCs w:val="20"/>
                <w:shd w:val="clear" w:color="auto" w:fill="FFFFFF"/>
                <w:lang w:val="ru-RU"/>
              </w:rPr>
            </w:pPr>
          </w:p>
        </w:tc>
        <w:tc>
          <w:tcPr>
            <w:tcW w:w="790" w:type="pct"/>
            <w:shd w:val="clear" w:color="auto" w:fill="auto"/>
            <w:vAlign w:val="center"/>
          </w:tcPr>
          <w:p w14:paraId="6756AF07">
            <w:pPr>
              <w:rPr>
                <w:b/>
                <w:sz w:val="20"/>
                <w:szCs w:val="20"/>
                <w:shd w:val="clear" w:color="auto" w:fill="FFFFFF"/>
                <w:lang w:val="ru-RU"/>
              </w:rPr>
            </w:pPr>
            <w:r>
              <w:rPr>
                <w:b/>
                <w:sz w:val="20"/>
                <w:szCs w:val="20"/>
                <w:shd w:val="clear" w:color="auto" w:fill="FFFFFF"/>
                <w:lang w:val="ru-RU"/>
              </w:rPr>
              <w:t>Число единиц</w:t>
            </w:r>
          </w:p>
        </w:tc>
        <w:tc>
          <w:tcPr>
            <w:tcW w:w="856" w:type="pct"/>
            <w:shd w:val="clear" w:color="auto" w:fill="auto"/>
            <w:vAlign w:val="center"/>
          </w:tcPr>
          <w:p w14:paraId="65BAFDBA">
            <w:pPr>
              <w:rPr>
                <w:b/>
                <w:sz w:val="20"/>
                <w:szCs w:val="20"/>
                <w:shd w:val="clear" w:color="auto" w:fill="FFFFFF"/>
                <w:lang w:val="ru-RU"/>
              </w:rPr>
            </w:pPr>
            <w:r>
              <w:rPr>
                <w:b/>
                <w:sz w:val="20"/>
                <w:szCs w:val="20"/>
                <w:shd w:val="clear" w:color="auto" w:fill="FFFFFF"/>
                <w:lang w:val="ru-RU"/>
              </w:rPr>
              <w:t>Показатель посещений</w:t>
            </w:r>
          </w:p>
          <w:p w14:paraId="45F59176">
            <w:pPr>
              <w:rPr>
                <w:b/>
                <w:sz w:val="20"/>
                <w:szCs w:val="20"/>
                <w:shd w:val="clear" w:color="auto" w:fill="FFFFFF"/>
                <w:lang w:val="ru-RU"/>
              </w:rPr>
            </w:pPr>
            <w:r>
              <w:rPr>
                <w:b/>
                <w:sz w:val="20"/>
                <w:szCs w:val="20"/>
                <w:shd w:val="clear" w:color="auto" w:fill="FFFFFF"/>
                <w:lang w:val="ru-RU"/>
              </w:rPr>
              <w:t>в смену</w:t>
            </w:r>
          </w:p>
        </w:tc>
        <w:tc>
          <w:tcPr>
            <w:tcW w:w="835" w:type="pct"/>
            <w:shd w:val="clear" w:color="auto" w:fill="auto"/>
            <w:vAlign w:val="center"/>
          </w:tcPr>
          <w:p w14:paraId="5FF5D1B1">
            <w:pPr>
              <w:rPr>
                <w:b/>
                <w:sz w:val="20"/>
                <w:szCs w:val="20"/>
                <w:shd w:val="clear" w:color="auto" w:fill="FFFFFF"/>
                <w:lang w:val="ru-RU"/>
              </w:rPr>
            </w:pPr>
            <w:r>
              <w:rPr>
                <w:b/>
                <w:sz w:val="20"/>
                <w:szCs w:val="20"/>
                <w:shd w:val="clear" w:color="auto" w:fill="FFFFFF"/>
                <w:lang w:val="ru-RU"/>
              </w:rPr>
              <w:t xml:space="preserve">Число единиц               </w:t>
            </w:r>
          </w:p>
        </w:tc>
        <w:tc>
          <w:tcPr>
            <w:tcW w:w="946" w:type="pct"/>
            <w:shd w:val="clear" w:color="auto" w:fill="auto"/>
            <w:vAlign w:val="center"/>
          </w:tcPr>
          <w:p w14:paraId="6344999C">
            <w:pPr>
              <w:rPr>
                <w:b/>
                <w:sz w:val="20"/>
                <w:szCs w:val="20"/>
                <w:shd w:val="clear" w:color="auto" w:fill="FFFFFF"/>
                <w:lang w:val="ru-RU"/>
              </w:rPr>
            </w:pPr>
            <w:r>
              <w:rPr>
                <w:b/>
                <w:sz w:val="20"/>
                <w:szCs w:val="20"/>
                <w:shd w:val="clear" w:color="auto" w:fill="FFFFFF"/>
                <w:lang w:val="ru-RU"/>
              </w:rPr>
              <w:t xml:space="preserve">Показатели посещений </w:t>
            </w:r>
          </w:p>
          <w:p w14:paraId="271304CA">
            <w:pPr>
              <w:rPr>
                <w:b/>
                <w:sz w:val="20"/>
                <w:szCs w:val="20"/>
                <w:shd w:val="clear" w:color="auto" w:fill="FFFFFF"/>
                <w:lang w:val="ru-RU"/>
              </w:rPr>
            </w:pPr>
            <w:r>
              <w:rPr>
                <w:b/>
                <w:sz w:val="20"/>
                <w:szCs w:val="20"/>
                <w:shd w:val="clear" w:color="auto" w:fill="FFFFFF"/>
                <w:lang w:val="ru-RU"/>
              </w:rPr>
              <w:t>в смену</w:t>
            </w:r>
          </w:p>
        </w:tc>
      </w:tr>
      <w:tr w14:paraId="092723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0" w:hRule="atLeast"/>
        </w:trPr>
        <w:tc>
          <w:tcPr>
            <w:tcW w:w="247" w:type="pct"/>
            <w:shd w:val="clear" w:color="auto" w:fill="auto"/>
            <w:vAlign w:val="center"/>
          </w:tcPr>
          <w:p w14:paraId="02B3A499">
            <w:pPr>
              <w:rPr>
                <w:sz w:val="20"/>
                <w:szCs w:val="20"/>
                <w:shd w:val="clear" w:color="auto" w:fill="FFFFFF"/>
                <w:lang w:val="ru-RU"/>
              </w:rPr>
            </w:pPr>
            <w:r>
              <w:rPr>
                <w:sz w:val="20"/>
                <w:szCs w:val="20"/>
                <w:shd w:val="clear" w:color="auto" w:fill="FFFFFF"/>
                <w:lang w:val="ru-RU"/>
              </w:rPr>
              <w:t>1</w:t>
            </w:r>
          </w:p>
        </w:tc>
        <w:tc>
          <w:tcPr>
            <w:tcW w:w="1326" w:type="pct"/>
            <w:shd w:val="clear" w:color="auto" w:fill="auto"/>
          </w:tcPr>
          <w:p w14:paraId="2F45F61A">
            <w:pPr>
              <w:rPr>
                <w:sz w:val="20"/>
                <w:szCs w:val="20"/>
                <w:shd w:val="clear" w:color="auto" w:fill="FFFFFF"/>
                <w:lang w:val="ru-RU"/>
              </w:rPr>
            </w:pPr>
            <w:r>
              <w:rPr>
                <w:lang w:val="ru-RU"/>
              </w:rPr>
              <w:t>с. Сухарево</w:t>
            </w:r>
          </w:p>
        </w:tc>
        <w:tc>
          <w:tcPr>
            <w:tcW w:w="790" w:type="pct"/>
            <w:shd w:val="clear" w:color="auto" w:fill="auto"/>
            <w:vAlign w:val="center"/>
          </w:tcPr>
          <w:p w14:paraId="4B1FD063">
            <w:pPr>
              <w:rPr>
                <w:sz w:val="20"/>
                <w:szCs w:val="20"/>
                <w:shd w:val="clear" w:color="auto" w:fill="FFFFFF"/>
                <w:lang w:val="ru-RU"/>
              </w:rPr>
            </w:pPr>
            <w:r>
              <w:rPr>
                <w:sz w:val="20"/>
                <w:szCs w:val="20"/>
                <w:shd w:val="clear" w:color="auto" w:fill="FFFFFF"/>
                <w:lang w:val="ru-RU"/>
              </w:rPr>
              <w:t>-</w:t>
            </w:r>
          </w:p>
        </w:tc>
        <w:tc>
          <w:tcPr>
            <w:tcW w:w="856" w:type="pct"/>
            <w:shd w:val="clear" w:color="auto" w:fill="auto"/>
            <w:vAlign w:val="center"/>
          </w:tcPr>
          <w:p w14:paraId="790CB69B">
            <w:pPr>
              <w:rPr>
                <w:sz w:val="20"/>
                <w:szCs w:val="20"/>
                <w:shd w:val="clear" w:color="auto" w:fill="FFFFFF"/>
                <w:lang w:val="ru-RU"/>
              </w:rPr>
            </w:pPr>
            <w:r>
              <w:rPr>
                <w:sz w:val="20"/>
                <w:szCs w:val="20"/>
                <w:shd w:val="clear" w:color="auto" w:fill="FFFFFF"/>
                <w:lang w:val="ru-RU"/>
              </w:rPr>
              <w:t>-</w:t>
            </w:r>
          </w:p>
        </w:tc>
        <w:tc>
          <w:tcPr>
            <w:tcW w:w="835" w:type="pct"/>
            <w:shd w:val="clear" w:color="auto" w:fill="auto"/>
            <w:vAlign w:val="center"/>
          </w:tcPr>
          <w:p w14:paraId="6BC1780F">
            <w:pPr>
              <w:rPr>
                <w:sz w:val="20"/>
                <w:szCs w:val="20"/>
                <w:shd w:val="clear" w:color="auto" w:fill="FFFFFF"/>
                <w:lang w:val="ru-RU"/>
              </w:rPr>
            </w:pPr>
            <w:r>
              <w:rPr>
                <w:sz w:val="20"/>
                <w:szCs w:val="20"/>
                <w:shd w:val="clear" w:color="auto" w:fill="FFFFFF"/>
                <w:lang w:val="ru-RU"/>
              </w:rPr>
              <w:t>1</w:t>
            </w:r>
          </w:p>
        </w:tc>
        <w:tc>
          <w:tcPr>
            <w:tcW w:w="946" w:type="pct"/>
            <w:shd w:val="clear" w:color="auto" w:fill="auto"/>
            <w:vAlign w:val="center"/>
          </w:tcPr>
          <w:p w14:paraId="09D3C02A">
            <w:pPr>
              <w:rPr>
                <w:sz w:val="20"/>
                <w:szCs w:val="20"/>
                <w:shd w:val="clear" w:color="auto" w:fill="FFFFFF"/>
                <w:lang w:val="ru-RU"/>
              </w:rPr>
            </w:pPr>
            <w:r>
              <w:rPr>
                <w:sz w:val="20"/>
                <w:szCs w:val="20"/>
                <w:shd w:val="clear" w:color="auto" w:fill="FFFFFF"/>
                <w:lang w:val="ru-RU"/>
              </w:rPr>
              <w:t>10</w:t>
            </w:r>
          </w:p>
        </w:tc>
      </w:tr>
    </w:tbl>
    <w:p w14:paraId="1B53F79D">
      <w:pPr>
        <w:widowControl/>
        <w:autoSpaceDE/>
        <w:autoSpaceDN/>
        <w:spacing w:line="276" w:lineRule="auto"/>
        <w:ind w:firstLine="567"/>
        <w:jc w:val="both"/>
        <w:rPr>
          <w:sz w:val="28"/>
          <w:szCs w:val="28"/>
          <w:lang w:val="ru-RU" w:eastAsia="ru-RU"/>
        </w:rPr>
      </w:pPr>
    </w:p>
    <w:p w14:paraId="3D592D05">
      <w:pPr>
        <w:widowControl/>
        <w:autoSpaceDE/>
        <w:autoSpaceDN/>
        <w:spacing w:line="276" w:lineRule="auto"/>
        <w:ind w:firstLine="567"/>
        <w:jc w:val="both"/>
        <w:rPr>
          <w:sz w:val="28"/>
          <w:szCs w:val="28"/>
          <w:lang w:val="ru-RU" w:eastAsia="ru-RU"/>
        </w:rPr>
      </w:pPr>
      <w:r>
        <w:rPr>
          <w:sz w:val="28"/>
          <w:szCs w:val="28"/>
          <w:lang w:val="ru-RU" w:eastAsia="ru-RU"/>
        </w:rPr>
        <w:t>Также медицинскую помощь жители села Сухарево получают в ОГБУЗ «Валуйская Центральная Районная Больница», находящаяся в г. Валуйки.</w:t>
      </w:r>
    </w:p>
    <w:p w14:paraId="2F633112">
      <w:pPr>
        <w:widowControl/>
        <w:autoSpaceDE/>
        <w:autoSpaceDN/>
        <w:spacing w:line="276" w:lineRule="auto"/>
        <w:ind w:firstLine="567"/>
        <w:jc w:val="both"/>
        <w:rPr>
          <w:sz w:val="28"/>
          <w:szCs w:val="28"/>
          <w:lang w:val="ru-RU" w:eastAsia="ru-RU"/>
        </w:rPr>
      </w:pPr>
    </w:p>
    <w:p w14:paraId="14E4DFEE">
      <w:pPr>
        <w:pStyle w:val="30"/>
        <w:spacing w:before="1" w:line="276" w:lineRule="auto"/>
        <w:ind w:left="1004" w:right="113"/>
        <w:rPr>
          <w:b/>
          <w:i/>
          <w:sz w:val="24"/>
          <w:szCs w:val="24"/>
          <w:lang w:val="ru-RU"/>
        </w:rPr>
      </w:pPr>
      <w:r>
        <w:rPr>
          <w:b/>
          <w:i/>
          <w:sz w:val="24"/>
          <w:szCs w:val="24"/>
          <w:lang w:val="ru-RU"/>
        </w:rPr>
        <w:t>Спортивные сооружения</w:t>
      </w:r>
    </w:p>
    <w:p w14:paraId="269EDF66">
      <w:pPr>
        <w:widowControl/>
        <w:autoSpaceDE/>
        <w:autoSpaceDN/>
        <w:spacing w:line="276" w:lineRule="auto"/>
        <w:ind w:firstLine="567"/>
        <w:jc w:val="both"/>
        <w:rPr>
          <w:sz w:val="28"/>
          <w:szCs w:val="28"/>
          <w:lang w:val="ru-RU" w:eastAsia="ru-RU"/>
        </w:rPr>
      </w:pPr>
      <w:bookmarkStart w:id="6" w:name="_bookmark11"/>
      <w:bookmarkEnd w:id="6"/>
      <w:r>
        <w:rPr>
          <w:sz w:val="28"/>
          <w:szCs w:val="28"/>
          <w:lang w:val="ru-RU" w:eastAsia="ru-RU"/>
        </w:rPr>
        <w:t>На территории села Сухарево отсутствуют спортивные объекты.</w:t>
      </w:r>
    </w:p>
    <w:p w14:paraId="29105960">
      <w:pPr>
        <w:widowControl/>
        <w:autoSpaceDE/>
        <w:autoSpaceDN/>
        <w:spacing w:line="276" w:lineRule="auto"/>
        <w:ind w:firstLine="567"/>
        <w:jc w:val="both"/>
        <w:rPr>
          <w:sz w:val="28"/>
          <w:szCs w:val="28"/>
          <w:lang w:val="ru-RU" w:eastAsia="ru-RU"/>
        </w:rPr>
      </w:pPr>
    </w:p>
    <w:p w14:paraId="699408EB">
      <w:pPr>
        <w:pStyle w:val="30"/>
        <w:spacing w:before="1" w:line="276" w:lineRule="auto"/>
        <w:ind w:left="1004" w:right="113"/>
        <w:rPr>
          <w:b/>
          <w:i/>
          <w:sz w:val="24"/>
          <w:szCs w:val="24"/>
          <w:lang w:val="ru-RU"/>
        </w:rPr>
      </w:pPr>
      <w:r>
        <w:rPr>
          <w:b/>
          <w:i/>
          <w:sz w:val="24"/>
          <w:szCs w:val="24"/>
          <w:lang w:val="ru-RU"/>
        </w:rPr>
        <w:t>Учреждения культуры</w:t>
      </w:r>
    </w:p>
    <w:p w14:paraId="5D88FC08">
      <w:pPr>
        <w:widowControl/>
        <w:autoSpaceDE/>
        <w:autoSpaceDN/>
        <w:spacing w:line="276" w:lineRule="auto"/>
        <w:ind w:firstLine="567"/>
        <w:jc w:val="both"/>
        <w:rPr>
          <w:sz w:val="28"/>
          <w:szCs w:val="28"/>
          <w:lang w:val="ru-RU" w:eastAsia="ru-RU"/>
        </w:rPr>
      </w:pPr>
      <w:r>
        <w:rPr>
          <w:sz w:val="28"/>
          <w:szCs w:val="28"/>
          <w:lang w:val="ru-RU" w:eastAsia="ru-RU"/>
        </w:rPr>
        <w:t>Главной целью сферы культуры является предоставление жителям возможности получения необходимых культурных благ при обеспечении их доступности и многообразия, целенаправленное воздействие на личность для формирования определённых положительных качеств.</w:t>
      </w:r>
    </w:p>
    <w:p w14:paraId="20B30E6F">
      <w:pPr>
        <w:widowControl/>
        <w:autoSpaceDE/>
        <w:autoSpaceDN/>
        <w:spacing w:line="276" w:lineRule="auto"/>
        <w:ind w:firstLine="567"/>
        <w:jc w:val="both"/>
        <w:rPr>
          <w:sz w:val="28"/>
          <w:szCs w:val="28"/>
          <w:lang w:val="ru-RU" w:eastAsia="ru-RU"/>
        </w:rPr>
      </w:pPr>
      <w:r>
        <w:rPr>
          <w:sz w:val="28"/>
          <w:szCs w:val="28"/>
          <w:lang w:val="ru-RU" w:eastAsia="ru-RU"/>
        </w:rPr>
        <w:t xml:space="preserve">В селе Сухарево сохранена сеть учреждений культуры и искусства, которая включает: </w:t>
      </w:r>
    </w:p>
    <w:p w14:paraId="3F647B2F">
      <w:pPr>
        <w:widowControl/>
        <w:autoSpaceDE/>
        <w:autoSpaceDN/>
        <w:spacing w:line="276" w:lineRule="auto"/>
        <w:ind w:firstLine="567"/>
        <w:jc w:val="both"/>
        <w:rPr>
          <w:sz w:val="28"/>
          <w:szCs w:val="28"/>
          <w:lang w:val="ru-RU" w:eastAsia="ru-RU"/>
        </w:rPr>
      </w:pPr>
      <w:r>
        <w:rPr>
          <w:sz w:val="28"/>
          <w:szCs w:val="28"/>
          <w:lang w:val="ru-RU" w:eastAsia="ru-RU"/>
        </w:rPr>
        <w:t xml:space="preserve">- Сухаревский сельский дом культуры, филиал МУК «Дворец культуры и спорта» (имеет 90 посадочных мест); </w:t>
      </w:r>
    </w:p>
    <w:p w14:paraId="09AAA6E9">
      <w:pPr>
        <w:widowControl/>
        <w:autoSpaceDE/>
        <w:autoSpaceDN/>
        <w:spacing w:line="276" w:lineRule="auto"/>
        <w:ind w:firstLine="567"/>
        <w:jc w:val="both"/>
        <w:rPr>
          <w:sz w:val="28"/>
          <w:szCs w:val="28"/>
          <w:lang w:val="ru-RU" w:eastAsia="ru-RU"/>
        </w:rPr>
      </w:pPr>
      <w:r>
        <w:rPr>
          <w:sz w:val="28"/>
          <w:szCs w:val="28"/>
          <w:lang w:val="ru-RU" w:eastAsia="ru-RU"/>
        </w:rPr>
        <w:t>- Сухаревская модельная сельская библиотека (книжный фонд составляет 2 тысячи экземпляров).</w:t>
      </w:r>
    </w:p>
    <w:p w14:paraId="000065A9">
      <w:pPr>
        <w:widowControl/>
        <w:autoSpaceDE/>
        <w:autoSpaceDN/>
        <w:spacing w:line="276" w:lineRule="auto"/>
        <w:ind w:firstLine="567"/>
        <w:jc w:val="both"/>
        <w:rPr>
          <w:sz w:val="28"/>
          <w:szCs w:val="28"/>
          <w:lang w:val="ru-RU" w:eastAsia="ru-RU"/>
        </w:rPr>
      </w:pPr>
      <w:r>
        <w:rPr>
          <w:sz w:val="28"/>
          <w:szCs w:val="28"/>
          <w:lang w:val="ru-RU" w:eastAsia="ru-RU"/>
        </w:rPr>
        <w:t>В зону обслуживания сельского дома культуры входит население села Сухарево и хутора Кургашки.</w:t>
      </w:r>
    </w:p>
    <w:p w14:paraId="5F7728D4">
      <w:pPr>
        <w:widowControl/>
        <w:autoSpaceDE/>
        <w:autoSpaceDN/>
        <w:spacing w:line="276" w:lineRule="auto"/>
        <w:ind w:firstLine="567"/>
        <w:jc w:val="both"/>
        <w:rPr>
          <w:sz w:val="28"/>
          <w:szCs w:val="28"/>
          <w:lang w:val="ru-RU" w:eastAsia="ru-RU"/>
        </w:rPr>
      </w:pPr>
      <w:r>
        <w:rPr>
          <w:sz w:val="28"/>
          <w:szCs w:val="28"/>
          <w:lang w:val="ru-RU" w:eastAsia="ru-RU"/>
        </w:rPr>
        <w:t xml:space="preserve">На базе учреждения функционируют 11 клубных формирований, которые объединяют 145 человек, из них 5 кружков - 65 участников; 6 клубов - 80 участников, в том числе 2 — детских (21 человек), 2 — для молодёжи (34 человека), 1 для взрослых - 10 участников. </w:t>
      </w:r>
    </w:p>
    <w:p w14:paraId="12EDE03F">
      <w:pPr>
        <w:widowControl/>
        <w:autoSpaceDE/>
        <w:autoSpaceDN/>
        <w:spacing w:line="276" w:lineRule="auto"/>
        <w:ind w:firstLine="567"/>
        <w:jc w:val="both"/>
        <w:rPr>
          <w:sz w:val="28"/>
          <w:szCs w:val="28"/>
          <w:lang w:val="ru-RU" w:eastAsia="ru-RU"/>
        </w:rPr>
      </w:pPr>
      <w:r>
        <w:rPr>
          <w:sz w:val="28"/>
          <w:szCs w:val="28"/>
          <w:lang w:val="ru-RU" w:eastAsia="ru-RU"/>
        </w:rPr>
        <w:t>Учреждение оснащено световым прибором, компьютером в сборе в количестве 1 шт., вокальными микрофонами в количестве 4 шт.</w:t>
      </w:r>
    </w:p>
    <w:p w14:paraId="07C5B8EC">
      <w:pPr>
        <w:widowControl/>
        <w:autoSpaceDE/>
        <w:autoSpaceDN/>
        <w:spacing w:line="276" w:lineRule="auto"/>
        <w:ind w:firstLine="567"/>
        <w:jc w:val="both"/>
        <w:rPr>
          <w:sz w:val="28"/>
          <w:szCs w:val="28"/>
          <w:lang w:val="ru-RU" w:eastAsia="ru-RU"/>
        </w:rPr>
      </w:pPr>
    </w:p>
    <w:p w14:paraId="3703B3C7">
      <w:pPr>
        <w:pStyle w:val="30"/>
        <w:spacing w:before="1" w:line="276" w:lineRule="auto"/>
        <w:ind w:left="1004" w:right="113"/>
        <w:rPr>
          <w:b/>
          <w:i/>
          <w:sz w:val="24"/>
          <w:szCs w:val="24"/>
          <w:lang w:val="ru-RU"/>
        </w:rPr>
      </w:pPr>
      <w:r>
        <w:rPr>
          <w:b/>
          <w:i/>
          <w:sz w:val="24"/>
          <w:szCs w:val="24"/>
          <w:lang w:val="ru-RU"/>
        </w:rPr>
        <w:t>Учреждения связи, сбербанка</w:t>
      </w:r>
    </w:p>
    <w:p w14:paraId="0B3EF9C7">
      <w:pPr>
        <w:widowControl/>
        <w:autoSpaceDE/>
        <w:autoSpaceDN/>
        <w:spacing w:line="276" w:lineRule="auto"/>
        <w:ind w:firstLine="567"/>
        <w:jc w:val="both"/>
        <w:rPr>
          <w:sz w:val="28"/>
          <w:szCs w:val="28"/>
          <w:lang w:val="ru-RU" w:eastAsia="ru-RU"/>
        </w:rPr>
      </w:pPr>
      <w:r>
        <w:rPr>
          <w:sz w:val="28"/>
          <w:szCs w:val="28"/>
          <w:lang w:val="ru-RU" w:eastAsia="ru-RU"/>
        </w:rPr>
        <w:t>На территории Борчанской территориальной администрации, куда входит село Сухарево, услуги почтовой связи обеспечиваются отделением Почты России в с. Борки.</w:t>
      </w:r>
    </w:p>
    <w:p w14:paraId="62AC9857">
      <w:pPr>
        <w:widowControl/>
        <w:autoSpaceDE/>
        <w:autoSpaceDN/>
        <w:spacing w:line="276" w:lineRule="auto"/>
        <w:ind w:firstLine="567"/>
        <w:jc w:val="both"/>
        <w:rPr>
          <w:sz w:val="28"/>
          <w:szCs w:val="28"/>
          <w:lang w:val="ru-RU" w:eastAsia="ru-RU"/>
        </w:rPr>
      </w:pPr>
      <w:r>
        <w:rPr>
          <w:sz w:val="28"/>
          <w:szCs w:val="28"/>
          <w:lang w:val="ru-RU" w:eastAsia="ru-RU"/>
        </w:rPr>
        <w:t>Оказание банковских услуг населению производится путём выезда отделения Сбербанк в с. Борки один раз в неделю, клиенты банка могут совершить операции по снятию и внесению денежных средств, а также по оплате коммунальных платежей.</w:t>
      </w:r>
    </w:p>
    <w:p w14:paraId="402410E5">
      <w:pPr>
        <w:widowControl/>
        <w:autoSpaceDE/>
        <w:autoSpaceDN/>
        <w:spacing w:line="276" w:lineRule="auto"/>
        <w:ind w:firstLine="567"/>
        <w:jc w:val="both"/>
        <w:rPr>
          <w:sz w:val="28"/>
          <w:szCs w:val="28"/>
          <w:lang w:val="ru-RU" w:eastAsia="ru-RU"/>
        </w:rPr>
      </w:pPr>
      <w:r>
        <w:rPr>
          <w:sz w:val="28"/>
          <w:szCs w:val="28"/>
          <w:lang w:val="ru-RU" w:eastAsia="ru-RU"/>
        </w:rPr>
        <w:t>Интернет для населения представлен вышкой сотовой связи компании Мегафон. Оптоволоконная связь на территории села Сухарево не проходит.</w:t>
      </w:r>
    </w:p>
    <w:p w14:paraId="1F948B7A">
      <w:pPr>
        <w:widowControl/>
        <w:autoSpaceDE/>
        <w:autoSpaceDN/>
        <w:spacing w:line="276" w:lineRule="auto"/>
        <w:ind w:firstLine="567"/>
        <w:jc w:val="both"/>
        <w:rPr>
          <w:sz w:val="28"/>
          <w:szCs w:val="28"/>
          <w:lang w:val="ru-RU" w:eastAsia="ru-RU"/>
        </w:rPr>
      </w:pPr>
      <w:r>
        <w:rPr>
          <w:sz w:val="28"/>
          <w:szCs w:val="28"/>
          <w:lang w:val="ru-RU" w:eastAsia="ru-RU"/>
        </w:rPr>
        <w:t>Средства массовой информации на территории Валуйского муниципального округа представлены сетевым изданием «Валуйская звезда» и информационной газетой «Валуйская звезда», которая выходит один раз в неделю общим тиражом 4000 экземпляров.</w:t>
      </w:r>
    </w:p>
    <w:p w14:paraId="4A52B7A3">
      <w:pPr>
        <w:widowControl/>
        <w:autoSpaceDE/>
        <w:autoSpaceDN/>
        <w:spacing w:line="276" w:lineRule="auto"/>
        <w:ind w:firstLine="567"/>
        <w:jc w:val="both"/>
        <w:rPr>
          <w:sz w:val="28"/>
          <w:szCs w:val="28"/>
          <w:lang w:val="ru-RU" w:eastAsia="ru-RU"/>
        </w:rPr>
      </w:pPr>
    </w:p>
    <w:p w14:paraId="7C207C88">
      <w:pPr>
        <w:pStyle w:val="30"/>
        <w:spacing w:before="1" w:line="276" w:lineRule="auto"/>
        <w:ind w:left="1004" w:right="113"/>
        <w:rPr>
          <w:b/>
          <w:i/>
          <w:sz w:val="24"/>
          <w:szCs w:val="24"/>
          <w:lang w:val="ru-RU"/>
        </w:rPr>
      </w:pPr>
      <w:r>
        <w:rPr>
          <w:b/>
          <w:i/>
          <w:sz w:val="24"/>
          <w:szCs w:val="24"/>
          <w:lang w:val="ru-RU"/>
        </w:rPr>
        <w:t>Направления развития экономики</w:t>
      </w:r>
    </w:p>
    <w:p w14:paraId="5C08F92F">
      <w:pPr>
        <w:widowControl/>
        <w:autoSpaceDE/>
        <w:autoSpaceDN/>
        <w:spacing w:line="276" w:lineRule="auto"/>
        <w:ind w:firstLine="567"/>
        <w:jc w:val="both"/>
        <w:rPr>
          <w:color w:val="00B050"/>
          <w:sz w:val="20"/>
          <w:szCs w:val="20"/>
          <w:shd w:val="clear" w:color="auto" w:fill="FFFFFF"/>
          <w:lang w:val="ru-RU"/>
        </w:rPr>
      </w:pPr>
      <w:r>
        <w:rPr>
          <w:sz w:val="28"/>
          <w:szCs w:val="28"/>
          <w:lang w:val="ru-RU" w:eastAsia="ru-RU"/>
        </w:rPr>
        <w:t>В селе Сухарево имеются небольшие фермерские хозяйства в части пчеловодства и овощеводства, а также 1 объект розничной торговли.</w:t>
      </w:r>
    </w:p>
    <w:p w14:paraId="45DA5CE6">
      <w:pPr>
        <w:rPr>
          <w:color w:val="00B050"/>
          <w:sz w:val="20"/>
          <w:szCs w:val="20"/>
          <w:shd w:val="clear" w:color="auto" w:fill="FFFFFF"/>
          <w:lang w:val="ru-RU"/>
        </w:rPr>
      </w:pPr>
    </w:p>
    <w:p w14:paraId="6DF89DD8">
      <w:pPr>
        <w:rPr>
          <w:color w:val="00B050"/>
          <w:sz w:val="20"/>
          <w:szCs w:val="20"/>
          <w:shd w:val="clear" w:color="auto" w:fill="FFFFFF"/>
          <w:lang w:val="ru-RU"/>
        </w:rPr>
      </w:pPr>
    </w:p>
    <w:p w14:paraId="638AB499">
      <w:pPr>
        <w:rPr>
          <w:color w:val="00B050"/>
          <w:sz w:val="20"/>
          <w:szCs w:val="20"/>
          <w:shd w:val="clear" w:color="auto" w:fill="FFFFFF"/>
          <w:lang w:val="ru-RU"/>
        </w:rPr>
      </w:pPr>
    </w:p>
    <w:p w14:paraId="06CC60DC">
      <w:pPr>
        <w:rPr>
          <w:color w:val="00B050"/>
          <w:sz w:val="20"/>
          <w:szCs w:val="20"/>
          <w:shd w:val="clear" w:color="auto" w:fill="FFFFFF"/>
          <w:lang w:val="ru-RU"/>
        </w:rPr>
      </w:pPr>
    </w:p>
    <w:p w14:paraId="7F897F13">
      <w:pPr>
        <w:rPr>
          <w:color w:val="00B050"/>
          <w:sz w:val="20"/>
          <w:szCs w:val="20"/>
          <w:shd w:val="clear" w:color="auto" w:fill="FFFFFF"/>
          <w:lang w:val="ru-RU"/>
        </w:rPr>
      </w:pPr>
    </w:p>
    <w:p w14:paraId="1224579D">
      <w:pPr>
        <w:rPr>
          <w:color w:val="00B050"/>
          <w:sz w:val="20"/>
          <w:szCs w:val="20"/>
          <w:shd w:val="clear" w:color="auto" w:fill="FFFFFF"/>
          <w:lang w:val="ru-RU"/>
        </w:rPr>
      </w:pPr>
    </w:p>
    <w:p w14:paraId="0CCB224D">
      <w:pPr>
        <w:rPr>
          <w:color w:val="00B050"/>
          <w:sz w:val="20"/>
          <w:szCs w:val="20"/>
          <w:shd w:val="clear" w:color="auto" w:fill="FFFFFF"/>
          <w:lang w:val="ru-RU"/>
        </w:rPr>
      </w:pPr>
    </w:p>
    <w:p w14:paraId="12D318CE">
      <w:pPr>
        <w:rPr>
          <w:color w:val="00B050"/>
          <w:sz w:val="20"/>
          <w:szCs w:val="20"/>
          <w:shd w:val="clear" w:color="auto" w:fill="FFFFFF"/>
          <w:lang w:val="ru-RU"/>
        </w:rPr>
      </w:pPr>
    </w:p>
    <w:p w14:paraId="723263DC">
      <w:pPr>
        <w:rPr>
          <w:color w:val="00B050"/>
          <w:sz w:val="20"/>
          <w:szCs w:val="20"/>
          <w:shd w:val="clear" w:color="auto" w:fill="FFFFFF"/>
          <w:lang w:val="ru-RU"/>
        </w:rPr>
      </w:pPr>
    </w:p>
    <w:p w14:paraId="62549A6C">
      <w:pPr>
        <w:rPr>
          <w:color w:val="00B050"/>
          <w:sz w:val="20"/>
          <w:szCs w:val="20"/>
          <w:shd w:val="clear" w:color="auto" w:fill="FFFFFF"/>
          <w:lang w:val="ru-RU"/>
        </w:rPr>
      </w:pPr>
    </w:p>
    <w:p w14:paraId="680A5445">
      <w:pPr>
        <w:pStyle w:val="3"/>
        <w:numPr>
          <w:ilvl w:val="0"/>
          <w:numId w:val="4"/>
        </w:numPr>
        <w:shd w:val="clear" w:color="auto" w:fill="FFFFFF"/>
        <w:spacing w:before="240"/>
        <w:ind w:left="735" w:hanging="375"/>
        <w:jc w:val="center"/>
        <w:rPr>
          <w:rFonts w:ascii="Times New Roman" w:hAnsi="Times New Roman" w:cs="Times New Roman"/>
          <w:color w:val="auto"/>
          <w:sz w:val="28"/>
          <w:lang w:val="ru-RU"/>
        </w:rPr>
      </w:pPr>
      <w:r>
        <w:rPr>
          <w:rFonts w:ascii="Times New Roman" w:hAnsi="Times New Roman" w:cs="Times New Roman"/>
          <w:color w:val="auto"/>
          <w:sz w:val="28"/>
          <w:lang w:val="ru-RU"/>
        </w:rPr>
        <w:t xml:space="preserve">Градостроительные ограничения и особые условия использования территории </w:t>
      </w:r>
    </w:p>
    <w:p w14:paraId="138CA4A8">
      <w:pPr>
        <w:widowControl/>
        <w:autoSpaceDE/>
        <w:autoSpaceDN/>
        <w:spacing w:line="276" w:lineRule="auto"/>
        <w:ind w:firstLine="567"/>
        <w:jc w:val="both"/>
        <w:rPr>
          <w:sz w:val="28"/>
          <w:szCs w:val="28"/>
          <w:lang w:val="ru-RU" w:eastAsia="ru-RU"/>
        </w:rPr>
      </w:pPr>
      <w:r>
        <w:rPr>
          <w:sz w:val="28"/>
          <w:szCs w:val="28"/>
          <w:lang w:val="ru-RU" w:eastAsia="ru-RU"/>
        </w:rPr>
        <w:t>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14:paraId="0A62BE38">
      <w:pPr>
        <w:widowControl/>
        <w:autoSpaceDE/>
        <w:autoSpaceDN/>
        <w:spacing w:line="276" w:lineRule="auto"/>
        <w:ind w:firstLine="567"/>
        <w:jc w:val="both"/>
        <w:rPr>
          <w:sz w:val="28"/>
          <w:szCs w:val="28"/>
          <w:lang w:val="ru-RU" w:eastAsia="ru-RU"/>
        </w:rPr>
      </w:pPr>
      <w:r>
        <w:rPr>
          <w:sz w:val="28"/>
          <w:szCs w:val="28"/>
          <w:lang w:val="ru-RU" w:eastAsia="ru-RU"/>
        </w:rPr>
        <w:t>Существующие зоны с особыми условиями использования территории, и основания их установления.</w:t>
      </w:r>
    </w:p>
    <w:p w14:paraId="0290E4D8">
      <w:pPr>
        <w:pStyle w:val="4"/>
        <w:shd w:val="clear" w:color="auto" w:fill="FFFFFF"/>
        <w:spacing w:before="40" w:line="317" w:lineRule="exact"/>
        <w:ind w:left="1440" w:hanging="720"/>
        <w:rPr>
          <w:rFonts w:ascii="Times New Roman" w:hAnsi="Times New Roman" w:eastAsia="Times New Roman"/>
          <w:color w:val="auto"/>
          <w:sz w:val="24"/>
          <w:szCs w:val="24"/>
          <w:lang w:val="ru-RU" w:eastAsia="ru-RU"/>
        </w:rPr>
      </w:pPr>
      <w:bookmarkStart w:id="7" w:name="_Toc103267263"/>
      <w:r>
        <w:rPr>
          <w:rFonts w:ascii="Times New Roman" w:hAnsi="Times New Roman" w:eastAsia="Times New Roman"/>
          <w:color w:val="auto"/>
          <w:sz w:val="24"/>
          <w:szCs w:val="24"/>
          <w:lang w:val="ru-RU" w:eastAsia="ru-RU"/>
        </w:rPr>
        <w:t>2.5.1 Охранные зоны электрических сетей</w:t>
      </w:r>
      <w:bookmarkEnd w:id="7"/>
    </w:p>
    <w:p w14:paraId="26F8C72F">
      <w:pPr>
        <w:widowControl/>
        <w:autoSpaceDE/>
        <w:autoSpaceDN/>
        <w:spacing w:line="276" w:lineRule="auto"/>
        <w:ind w:firstLine="567"/>
        <w:jc w:val="both"/>
        <w:rPr>
          <w:sz w:val="28"/>
          <w:szCs w:val="28"/>
          <w:lang w:val="ru-RU" w:eastAsia="ru-RU"/>
        </w:rPr>
      </w:pPr>
      <w:r>
        <w:rPr>
          <w:sz w:val="28"/>
          <w:szCs w:val="28"/>
          <w:lang w:val="ru-RU" w:eastAsia="ru-RU"/>
        </w:rPr>
        <w:t>Охранные зоны электрических сетей – зоны с особыми условиями использования земельных участков, расположенных в пределах охранных зон (далее - земельные участки), обеспечивающие безопасное функционирование и эксплуатацию указанных объектов.</w:t>
      </w:r>
    </w:p>
    <w:p w14:paraId="770234BD">
      <w:pPr>
        <w:pStyle w:val="4"/>
        <w:shd w:val="clear" w:color="auto" w:fill="FFFFFF"/>
        <w:spacing w:before="40" w:line="317" w:lineRule="exact"/>
        <w:ind w:left="1440" w:hanging="720"/>
        <w:rPr>
          <w:rFonts w:ascii="Times New Roman" w:hAnsi="Times New Roman" w:eastAsia="Times New Roman"/>
          <w:color w:val="auto"/>
          <w:sz w:val="24"/>
          <w:szCs w:val="24"/>
          <w:lang w:val="ru-RU" w:eastAsia="ru-RU"/>
        </w:rPr>
      </w:pPr>
      <w:bookmarkStart w:id="8" w:name="_Toc100741630"/>
      <w:bookmarkStart w:id="9" w:name="_Toc103267264"/>
      <w:r>
        <w:rPr>
          <w:rFonts w:ascii="Times New Roman" w:hAnsi="Times New Roman" w:eastAsia="Times New Roman"/>
          <w:color w:val="auto"/>
          <w:sz w:val="24"/>
          <w:szCs w:val="24"/>
          <w:lang w:val="ru-RU" w:eastAsia="ru-RU"/>
        </w:rPr>
        <w:t>2.5.2 Водоохранные зоны и прибрежные защитные полосы</w:t>
      </w:r>
      <w:bookmarkEnd w:id="8"/>
      <w:bookmarkEnd w:id="9"/>
    </w:p>
    <w:p w14:paraId="447DC075">
      <w:pPr>
        <w:widowControl/>
        <w:autoSpaceDE/>
        <w:autoSpaceDN/>
        <w:spacing w:line="276" w:lineRule="auto"/>
        <w:ind w:firstLine="567"/>
        <w:jc w:val="both"/>
        <w:rPr>
          <w:sz w:val="28"/>
          <w:szCs w:val="28"/>
          <w:lang w:val="ru-RU" w:eastAsia="ru-RU"/>
        </w:rPr>
      </w:pPr>
      <w:r>
        <w:rPr>
          <w:sz w:val="28"/>
          <w:szCs w:val="28"/>
          <w:lang w:val="ru-RU" w:eastAsia="ru-RU"/>
        </w:rPr>
        <w:t>Водоохранными зонами являются территории, которые примыкают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2C4EDC7A">
      <w:pPr>
        <w:widowControl/>
        <w:autoSpaceDE/>
        <w:autoSpaceDN/>
        <w:spacing w:line="276" w:lineRule="auto"/>
        <w:ind w:firstLine="567"/>
        <w:jc w:val="both"/>
        <w:rPr>
          <w:sz w:val="28"/>
          <w:szCs w:val="28"/>
          <w:lang w:val="ru-RU"/>
        </w:rPr>
      </w:pPr>
      <w:r>
        <w:rPr>
          <w:sz w:val="28"/>
          <w:szCs w:val="28"/>
          <w:lang w:val="ru-RU" w:eastAsia="ru-RU"/>
        </w:rPr>
        <w:t>В границах водоохранных зон устанавливаются прибрежные защитные полосы, на территориях которых вводятся дополнительные ограничения</w:t>
      </w:r>
      <w:r>
        <w:rPr>
          <w:sz w:val="28"/>
          <w:szCs w:val="28"/>
          <w:lang w:val="ru-RU"/>
        </w:rPr>
        <w:t xml:space="preserve"> хозяйственной и иной деятельности.</w:t>
      </w:r>
    </w:p>
    <w:p w14:paraId="21F32908">
      <w:pPr>
        <w:adjustRightInd w:val="0"/>
        <w:spacing w:line="276" w:lineRule="auto"/>
        <w:ind w:firstLine="851"/>
        <w:jc w:val="both"/>
        <w:rPr>
          <w:sz w:val="28"/>
          <w:szCs w:val="28"/>
          <w:lang w:val="ru-RU"/>
        </w:rPr>
      </w:pPr>
      <w:r>
        <w:rPr>
          <w:sz w:val="28"/>
          <w:szCs w:val="28"/>
          <w:lang w:val="ru-RU"/>
        </w:rPr>
        <w:t>В границах водоохранных зон запрещаются:</w:t>
      </w:r>
    </w:p>
    <w:p w14:paraId="72AE0904">
      <w:pPr>
        <w:adjustRightInd w:val="0"/>
        <w:spacing w:line="276" w:lineRule="auto"/>
        <w:ind w:firstLine="851"/>
        <w:jc w:val="both"/>
        <w:rPr>
          <w:sz w:val="28"/>
          <w:szCs w:val="28"/>
          <w:lang w:val="ru-RU"/>
        </w:rPr>
      </w:pPr>
      <w:r>
        <w:rPr>
          <w:sz w:val="28"/>
          <w:szCs w:val="28"/>
          <w:lang w:val="ru-RU"/>
        </w:rPr>
        <w:t>1) использование сточных вод в целях регулирования плодородия почв;</w:t>
      </w:r>
    </w:p>
    <w:p w14:paraId="4C504A3E">
      <w:pPr>
        <w:adjustRightInd w:val="0"/>
        <w:spacing w:line="276" w:lineRule="auto"/>
        <w:ind w:firstLine="851"/>
        <w:jc w:val="both"/>
        <w:rPr>
          <w:sz w:val="28"/>
          <w:szCs w:val="28"/>
          <w:lang w:val="ru-RU"/>
        </w:rPr>
      </w:pPr>
      <w:r>
        <w:rPr>
          <w:sz w:val="28"/>
          <w:szCs w:val="28"/>
          <w:lang w:val="ru-RU"/>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14:paraId="207AD983">
      <w:pPr>
        <w:adjustRightInd w:val="0"/>
        <w:spacing w:line="276" w:lineRule="auto"/>
        <w:ind w:firstLine="851"/>
        <w:jc w:val="both"/>
        <w:rPr>
          <w:sz w:val="28"/>
          <w:szCs w:val="28"/>
          <w:lang w:val="ru-RU"/>
        </w:rPr>
      </w:pPr>
      <w:r>
        <w:rPr>
          <w:sz w:val="28"/>
          <w:szCs w:val="28"/>
          <w:lang w:val="ru-RU"/>
        </w:rPr>
        <w:t>3) осуществление авиационных мер по борьбе с вредными организмами;</w:t>
      </w:r>
    </w:p>
    <w:p w14:paraId="6E5FF2C5">
      <w:pPr>
        <w:adjustRightInd w:val="0"/>
        <w:spacing w:line="276" w:lineRule="auto"/>
        <w:ind w:firstLine="851"/>
        <w:jc w:val="both"/>
        <w:rPr>
          <w:sz w:val="28"/>
          <w:szCs w:val="28"/>
          <w:lang w:val="ru-RU"/>
        </w:rPr>
      </w:pPr>
      <w:r>
        <w:rPr>
          <w:sz w:val="28"/>
          <w:szCs w:val="28"/>
          <w:lang w:val="ru-RU"/>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5C7FC34">
      <w:pPr>
        <w:adjustRightInd w:val="0"/>
        <w:spacing w:line="276" w:lineRule="auto"/>
        <w:ind w:firstLine="851"/>
        <w:jc w:val="both"/>
        <w:rPr>
          <w:sz w:val="28"/>
          <w:szCs w:val="28"/>
          <w:lang w:val="ru-RU"/>
        </w:rPr>
      </w:pPr>
      <w:r>
        <w:rPr>
          <w:sz w:val="28"/>
          <w:szCs w:val="28"/>
          <w:lang w:val="ru-RU"/>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50816B1E">
      <w:pPr>
        <w:adjustRightInd w:val="0"/>
        <w:spacing w:line="276" w:lineRule="auto"/>
        <w:ind w:firstLine="851"/>
        <w:jc w:val="both"/>
        <w:rPr>
          <w:sz w:val="28"/>
          <w:szCs w:val="28"/>
          <w:lang w:val="ru-RU"/>
        </w:rPr>
      </w:pPr>
      <w:r>
        <w:rPr>
          <w:sz w:val="28"/>
          <w:szCs w:val="28"/>
          <w:lang w:val="ru-RU"/>
        </w:rPr>
        <w:t>6) 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4351B70C">
      <w:pPr>
        <w:adjustRightInd w:val="0"/>
        <w:spacing w:line="276" w:lineRule="auto"/>
        <w:ind w:firstLine="851"/>
        <w:jc w:val="both"/>
        <w:rPr>
          <w:sz w:val="28"/>
          <w:szCs w:val="28"/>
          <w:lang w:val="ru-RU"/>
        </w:rPr>
      </w:pPr>
      <w:r>
        <w:rPr>
          <w:sz w:val="28"/>
          <w:szCs w:val="28"/>
          <w:lang w:val="ru-RU"/>
        </w:rPr>
        <w:t>7) сброс сточных, в том числе дренажных, вод;</w:t>
      </w:r>
    </w:p>
    <w:p w14:paraId="7BB02469">
      <w:pPr>
        <w:adjustRightInd w:val="0"/>
        <w:spacing w:line="276" w:lineRule="auto"/>
        <w:ind w:firstLine="851"/>
        <w:jc w:val="both"/>
        <w:rPr>
          <w:sz w:val="28"/>
          <w:szCs w:val="28"/>
          <w:lang w:val="ru-RU"/>
        </w:rPr>
      </w:pPr>
      <w:r>
        <w:rPr>
          <w:sz w:val="28"/>
          <w:szCs w:val="28"/>
          <w:lang w:val="ru-RU"/>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года </w:t>
      </w:r>
      <w:r>
        <w:rPr>
          <w:sz w:val="28"/>
          <w:szCs w:val="28"/>
        </w:rPr>
        <w:t>N</w:t>
      </w:r>
      <w:r>
        <w:rPr>
          <w:sz w:val="28"/>
          <w:szCs w:val="28"/>
          <w:lang w:val="ru-RU"/>
        </w:rPr>
        <w:t xml:space="preserve"> 2395-1 "О недрах").</w:t>
      </w:r>
    </w:p>
    <w:p w14:paraId="1B33C310">
      <w:pPr>
        <w:adjustRightInd w:val="0"/>
        <w:spacing w:line="276" w:lineRule="auto"/>
        <w:ind w:firstLine="851"/>
        <w:jc w:val="both"/>
        <w:rPr>
          <w:sz w:val="28"/>
          <w:szCs w:val="28"/>
          <w:lang w:val="ru-RU"/>
        </w:rPr>
      </w:pPr>
      <w:r>
        <w:rPr>
          <w:sz w:val="28"/>
          <w:szCs w:val="28"/>
          <w:lang w:val="ru-RU"/>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w:t>
      </w:r>
    </w:p>
    <w:p w14:paraId="61BC8358">
      <w:pPr>
        <w:adjustRightInd w:val="0"/>
        <w:spacing w:line="276" w:lineRule="auto"/>
        <w:ind w:firstLine="851"/>
        <w:jc w:val="both"/>
        <w:rPr>
          <w:sz w:val="28"/>
          <w:szCs w:val="28"/>
          <w:lang w:val="ru-RU"/>
        </w:rPr>
      </w:pPr>
      <w:r>
        <w:rPr>
          <w:sz w:val="28"/>
          <w:szCs w:val="28"/>
          <w:lang w:val="ru-RU"/>
        </w:rPr>
        <w:t>В границах прибрежных защитных полос наряду с установленными ограничениями запрещаются:</w:t>
      </w:r>
    </w:p>
    <w:p w14:paraId="3C998909">
      <w:pPr>
        <w:adjustRightInd w:val="0"/>
        <w:spacing w:line="276" w:lineRule="auto"/>
        <w:ind w:firstLine="851"/>
        <w:jc w:val="both"/>
        <w:rPr>
          <w:sz w:val="28"/>
          <w:szCs w:val="28"/>
          <w:lang w:val="ru-RU"/>
        </w:rPr>
      </w:pPr>
      <w:r>
        <w:rPr>
          <w:sz w:val="28"/>
          <w:szCs w:val="28"/>
          <w:lang w:val="ru-RU"/>
        </w:rPr>
        <w:t>1) распашка земель;</w:t>
      </w:r>
    </w:p>
    <w:p w14:paraId="6B7A372C">
      <w:pPr>
        <w:adjustRightInd w:val="0"/>
        <w:spacing w:line="276" w:lineRule="auto"/>
        <w:ind w:firstLine="851"/>
        <w:jc w:val="both"/>
        <w:rPr>
          <w:sz w:val="28"/>
          <w:szCs w:val="28"/>
          <w:lang w:val="ru-RU"/>
        </w:rPr>
      </w:pPr>
      <w:r>
        <w:rPr>
          <w:sz w:val="28"/>
          <w:szCs w:val="28"/>
          <w:lang w:val="ru-RU"/>
        </w:rPr>
        <w:t>2) размещение отвалов размываемых грунтов;</w:t>
      </w:r>
    </w:p>
    <w:p w14:paraId="000C25B4">
      <w:pPr>
        <w:adjustRightInd w:val="0"/>
        <w:spacing w:line="276" w:lineRule="auto"/>
        <w:ind w:firstLine="851"/>
        <w:jc w:val="both"/>
        <w:rPr>
          <w:sz w:val="28"/>
          <w:szCs w:val="28"/>
          <w:lang w:val="ru-RU"/>
        </w:rPr>
      </w:pPr>
      <w:r>
        <w:rPr>
          <w:sz w:val="28"/>
          <w:szCs w:val="28"/>
          <w:lang w:val="ru-RU"/>
        </w:rPr>
        <w:t>3) выпас сельскохозяйственных животных и организация для них летних лагерей, ванн.</w:t>
      </w:r>
    </w:p>
    <w:p w14:paraId="41CAF760">
      <w:pPr>
        <w:ind w:left="116" w:right="130" w:firstLine="708"/>
        <w:jc w:val="both"/>
        <w:rPr>
          <w:spacing w:val="-1"/>
          <w:sz w:val="28"/>
          <w:szCs w:val="28"/>
          <w:lang w:val="ru-RU"/>
        </w:rPr>
      </w:pPr>
      <w:r>
        <w:rPr>
          <w:spacing w:val="-1"/>
          <w:sz w:val="28"/>
          <w:szCs w:val="28"/>
          <w:lang w:val="ru-RU"/>
        </w:rPr>
        <w:t>По сведениям государственного контроля, надзора и охраны водных биологических ресурсов по Белгородской области рыбоохранных зон на территории Белгородской области рыбоохранные, рыбохозяйственные заповедные зоны не устанавливались.</w:t>
      </w:r>
    </w:p>
    <w:p w14:paraId="7A5423B1">
      <w:pPr>
        <w:ind w:left="116" w:right="130" w:firstLine="708"/>
        <w:jc w:val="both"/>
        <w:rPr>
          <w:spacing w:val="-1"/>
          <w:sz w:val="28"/>
          <w:szCs w:val="28"/>
          <w:lang w:val="ru-RU"/>
        </w:rPr>
      </w:pPr>
      <w:r>
        <w:rPr>
          <w:spacing w:val="-1"/>
          <w:sz w:val="28"/>
          <w:szCs w:val="28"/>
          <w:lang w:val="ru-RU"/>
        </w:rPr>
        <w:t> </w:t>
      </w:r>
    </w:p>
    <w:p w14:paraId="5C93B7E6">
      <w:pPr>
        <w:pStyle w:val="4"/>
        <w:shd w:val="clear" w:color="auto" w:fill="FFFFFF"/>
        <w:spacing w:before="40" w:line="317" w:lineRule="exact"/>
        <w:ind w:left="1440" w:hanging="720"/>
        <w:rPr>
          <w:rFonts w:ascii="Times New Roman" w:hAnsi="Times New Roman" w:eastAsia="Times New Roman"/>
          <w:color w:val="auto"/>
          <w:sz w:val="24"/>
          <w:szCs w:val="24"/>
          <w:lang w:val="ru-RU" w:eastAsia="ru-RU"/>
        </w:rPr>
      </w:pPr>
      <w:bookmarkStart w:id="10" w:name="_Toc100741631"/>
      <w:bookmarkStart w:id="11" w:name="_Toc103267265"/>
      <w:r>
        <w:rPr>
          <w:rFonts w:ascii="Times New Roman" w:hAnsi="Times New Roman" w:eastAsia="Times New Roman"/>
          <w:color w:val="auto"/>
          <w:sz w:val="24"/>
          <w:szCs w:val="24"/>
          <w:lang w:val="ru-RU" w:eastAsia="ru-RU"/>
        </w:rPr>
        <w:t>2.5.3 Зона санитарной охраны (ЗСО) источников водоснабжения и санитарно-защитные полосы водоводов.</w:t>
      </w:r>
      <w:bookmarkEnd w:id="10"/>
      <w:bookmarkEnd w:id="11"/>
      <w:r>
        <w:rPr>
          <w:rFonts w:ascii="Times New Roman" w:hAnsi="Times New Roman" w:eastAsia="Times New Roman"/>
          <w:color w:val="auto"/>
          <w:sz w:val="24"/>
          <w:szCs w:val="24"/>
          <w:lang w:val="ru-RU" w:eastAsia="ru-RU"/>
        </w:rPr>
        <w:t xml:space="preserve"> </w:t>
      </w:r>
    </w:p>
    <w:p w14:paraId="0FD4DD25">
      <w:pPr>
        <w:spacing w:line="276" w:lineRule="auto"/>
        <w:ind w:firstLine="567"/>
        <w:jc w:val="both"/>
        <w:rPr>
          <w:sz w:val="28"/>
          <w:szCs w:val="28"/>
          <w:lang w:val="ru-RU"/>
        </w:rPr>
      </w:pPr>
      <w:r>
        <w:rPr>
          <w:sz w:val="28"/>
          <w:szCs w:val="28"/>
          <w:lang w:val="ru-RU"/>
        </w:rPr>
        <w:t>ЗСО организуются на всех водопроводах, вне зависимости от ведомственной принадлежности, подающих воду, как из поверхностных, так и из подземных источников.</w:t>
      </w:r>
    </w:p>
    <w:p w14:paraId="0075A4C2">
      <w:pPr>
        <w:spacing w:line="276" w:lineRule="auto"/>
        <w:ind w:firstLine="567"/>
        <w:jc w:val="both"/>
        <w:rPr>
          <w:sz w:val="28"/>
          <w:szCs w:val="28"/>
          <w:lang w:val="ru-RU"/>
        </w:rPr>
      </w:pPr>
      <w:r>
        <w:rPr>
          <w:sz w:val="28"/>
          <w:szCs w:val="28"/>
          <w:lang w:val="ru-RU"/>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14:paraId="1B82886D">
      <w:pPr>
        <w:spacing w:line="276" w:lineRule="auto"/>
        <w:ind w:firstLine="567"/>
        <w:jc w:val="both"/>
        <w:rPr>
          <w:sz w:val="28"/>
          <w:szCs w:val="28"/>
          <w:lang w:val="ru-RU"/>
        </w:rPr>
      </w:pPr>
      <w:r>
        <w:rPr>
          <w:sz w:val="28"/>
          <w:szCs w:val="28"/>
          <w:lang w:val="ru-RU"/>
        </w:rPr>
        <w:t>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14:paraId="64020612">
      <w:pPr>
        <w:spacing w:line="276" w:lineRule="auto"/>
        <w:ind w:firstLine="567"/>
        <w:jc w:val="both"/>
        <w:rPr>
          <w:sz w:val="28"/>
          <w:szCs w:val="28"/>
          <w:lang w:val="ru-RU"/>
        </w:rPr>
      </w:pPr>
      <w:r>
        <w:rPr>
          <w:sz w:val="28"/>
          <w:szCs w:val="28"/>
          <w:lang w:val="ru-RU"/>
        </w:rPr>
        <w:t>Санитарная охрана водоводов обеспечивается санитарно - защитной полосой.</w:t>
      </w:r>
    </w:p>
    <w:p w14:paraId="6D233C23">
      <w:pPr>
        <w:spacing w:line="276" w:lineRule="auto"/>
        <w:ind w:firstLine="567"/>
        <w:jc w:val="both"/>
        <w:rPr>
          <w:sz w:val="28"/>
          <w:szCs w:val="28"/>
          <w:lang w:val="ru-RU"/>
        </w:rPr>
      </w:pPr>
      <w:r>
        <w:rPr>
          <w:sz w:val="28"/>
          <w:szCs w:val="28"/>
          <w:lang w:val="ru-RU"/>
        </w:rPr>
        <w:t>В каждом из трех поясов, а также в пределах санитарно - 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14:paraId="1229656A">
      <w:pPr>
        <w:spacing w:line="276" w:lineRule="auto"/>
        <w:ind w:firstLine="567"/>
        <w:jc w:val="both"/>
        <w:rPr>
          <w:sz w:val="28"/>
          <w:szCs w:val="28"/>
          <w:lang w:val="ru-RU"/>
        </w:rPr>
      </w:pPr>
      <w:r>
        <w:rPr>
          <w:sz w:val="28"/>
          <w:szCs w:val="28"/>
          <w:lang w:val="ru-RU"/>
        </w:rPr>
        <w:t>Мероприятия предусматриваются для каждого пояса ЗСО в соответствии с его назначением (более подробную информацию см. Постановление главного государственного врача Российской Федерации от 14 марта 2002 г. № 10 «О введении в действие санитарных правил и норм "Зоны санитарной охраны источников водоснабжения и водопроводов питьевого назначения САНПИН 2.1.4.1110-02").</w:t>
      </w:r>
    </w:p>
    <w:p w14:paraId="771BB3D6">
      <w:pPr>
        <w:spacing w:line="276" w:lineRule="auto"/>
        <w:ind w:firstLine="567"/>
        <w:jc w:val="both"/>
        <w:rPr>
          <w:sz w:val="28"/>
          <w:szCs w:val="28"/>
          <w:lang w:val="ru-RU"/>
        </w:rPr>
      </w:pPr>
      <w:r>
        <w:rPr>
          <w:sz w:val="28"/>
          <w:szCs w:val="28"/>
          <w:lang w:val="ru-RU"/>
        </w:rPr>
        <w:t>Целью мероприятий является максимальное снижение микробного и химического загрязнения воды источников водоснабжения, позволяющее при современной технологии обработки обеспечивать получение воды питьевого качества.</w:t>
      </w:r>
    </w:p>
    <w:p w14:paraId="322FCA2E">
      <w:pPr>
        <w:pStyle w:val="4"/>
        <w:shd w:val="clear" w:color="auto" w:fill="FFFFFF"/>
        <w:spacing w:before="40" w:line="317" w:lineRule="exact"/>
        <w:ind w:left="1440" w:hanging="720"/>
        <w:rPr>
          <w:rFonts w:ascii="Times New Roman" w:hAnsi="Times New Roman" w:eastAsia="Times New Roman"/>
          <w:color w:val="auto"/>
          <w:sz w:val="24"/>
          <w:szCs w:val="24"/>
          <w:lang w:val="ru-RU" w:eastAsia="ru-RU"/>
        </w:rPr>
      </w:pPr>
      <w:bookmarkStart w:id="12" w:name="_Toc103267266"/>
      <w:r>
        <w:rPr>
          <w:rFonts w:ascii="Times New Roman" w:hAnsi="Times New Roman" w:eastAsia="Times New Roman"/>
          <w:color w:val="auto"/>
          <w:sz w:val="24"/>
          <w:szCs w:val="24"/>
          <w:lang w:val="ru-RU" w:eastAsia="ru-RU"/>
        </w:rPr>
        <w:t>2.5.4 Санитарно-защитные зоны</w:t>
      </w:r>
      <w:bookmarkEnd w:id="12"/>
    </w:p>
    <w:p w14:paraId="34AE03C0">
      <w:pPr>
        <w:spacing w:line="276" w:lineRule="auto"/>
        <w:ind w:firstLine="567"/>
        <w:jc w:val="both"/>
        <w:rPr>
          <w:sz w:val="28"/>
          <w:szCs w:val="28"/>
          <w:lang w:val="ru-RU"/>
        </w:rPr>
      </w:pPr>
      <w:r>
        <w:rPr>
          <w:sz w:val="28"/>
          <w:szCs w:val="28"/>
          <w:lang w:val="ru-RU"/>
        </w:rPr>
        <w:t>Санитарно-защитные зоны устанавливаются в целях обеспечения безопасности населения вокруг объектов и производств, являющимися источниками воздействия на среду обитания и здоровья человека. Размеры санитарных зон определяются на основе расчетов рассеивания выбросов вредных веществ в атмосферном воздухе в соответствии с санитарной классификацией организаций, и обеспечивает уменьшение воздействия загрязнения на атмосферный воздух до значений, установленными гигиеническими нормативами.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14:paraId="60E8D359">
      <w:pPr>
        <w:pStyle w:val="4"/>
        <w:shd w:val="clear" w:color="auto" w:fill="FFFFFF"/>
        <w:spacing w:before="40" w:line="317" w:lineRule="exact"/>
        <w:ind w:left="1440" w:hanging="720"/>
        <w:rPr>
          <w:rFonts w:ascii="Times New Roman" w:hAnsi="Times New Roman" w:eastAsia="Times New Roman"/>
          <w:color w:val="auto"/>
          <w:sz w:val="24"/>
          <w:szCs w:val="24"/>
          <w:lang w:val="ru-RU" w:eastAsia="ru-RU"/>
        </w:rPr>
      </w:pPr>
      <w:r>
        <w:rPr>
          <w:rFonts w:ascii="Times New Roman" w:hAnsi="Times New Roman" w:eastAsia="Times New Roman"/>
          <w:color w:val="auto"/>
          <w:sz w:val="24"/>
          <w:szCs w:val="24"/>
          <w:lang w:val="ru-RU" w:eastAsia="ru-RU"/>
        </w:rPr>
        <w:t xml:space="preserve">2.5.5 </w:t>
      </w:r>
      <w:bookmarkStart w:id="13" w:name="_Toc103267267"/>
      <w:r>
        <w:rPr>
          <w:rFonts w:ascii="Times New Roman" w:hAnsi="Times New Roman" w:eastAsia="Times New Roman"/>
          <w:color w:val="auto"/>
          <w:sz w:val="24"/>
          <w:szCs w:val="24"/>
          <w:lang w:val="ru-RU" w:eastAsia="ru-RU"/>
        </w:rPr>
        <w:t>Охранные зоны газопроводных сетей</w:t>
      </w:r>
      <w:bookmarkEnd w:id="13"/>
    </w:p>
    <w:p w14:paraId="1E3E9512">
      <w:pPr>
        <w:spacing w:line="276" w:lineRule="auto"/>
        <w:ind w:firstLine="567"/>
        <w:jc w:val="both"/>
        <w:rPr>
          <w:sz w:val="28"/>
          <w:szCs w:val="28"/>
          <w:lang w:val="ru-RU"/>
        </w:rPr>
      </w:pPr>
      <w:r>
        <w:rPr>
          <w:sz w:val="28"/>
          <w:szCs w:val="28"/>
          <w:lang w:val="ru-RU"/>
        </w:rPr>
        <w:t>Охранная зона газопроводных сетей - территория с особыми условиями использования, которая устанавливается в порядке, определенном Правительством РФ, вдоль трассы газопроводов и вокруг других объектов данной системы газоснабжения в целях обеспечения нормальных условий эксплуатации таких объектов и исключения возможности их повреждения.</w:t>
      </w:r>
    </w:p>
    <w:p w14:paraId="04AFE648">
      <w:pPr>
        <w:pStyle w:val="4"/>
        <w:shd w:val="clear" w:color="auto" w:fill="FFFFFF"/>
        <w:spacing w:before="40" w:line="317" w:lineRule="exact"/>
        <w:ind w:left="1440" w:hanging="720"/>
        <w:rPr>
          <w:rFonts w:ascii="Times New Roman" w:hAnsi="Times New Roman" w:eastAsia="Times New Roman"/>
          <w:color w:val="auto"/>
          <w:sz w:val="24"/>
          <w:szCs w:val="24"/>
          <w:lang w:val="ru-RU" w:eastAsia="ru-RU"/>
        </w:rPr>
      </w:pPr>
      <w:bookmarkStart w:id="14" w:name="_Toc103267268"/>
      <w:r>
        <w:rPr>
          <w:rFonts w:ascii="Times New Roman" w:hAnsi="Times New Roman" w:eastAsia="Times New Roman"/>
          <w:color w:val="auto"/>
          <w:sz w:val="24"/>
          <w:szCs w:val="24"/>
          <w:lang w:val="ru-RU" w:eastAsia="ru-RU"/>
        </w:rPr>
        <w:t>2.5.6 Особо охраняемые природные территории</w:t>
      </w:r>
      <w:bookmarkEnd w:id="14"/>
    </w:p>
    <w:p w14:paraId="123131A0">
      <w:pPr>
        <w:spacing w:line="276" w:lineRule="auto"/>
        <w:ind w:firstLine="567"/>
        <w:jc w:val="both"/>
        <w:rPr>
          <w:sz w:val="28"/>
          <w:szCs w:val="28"/>
          <w:lang w:val="ru-RU"/>
        </w:rPr>
      </w:pPr>
      <w:r>
        <w:rPr>
          <w:sz w:val="28"/>
          <w:szCs w:val="28"/>
          <w:lang w:val="ru-RU"/>
        </w:rPr>
        <w:t xml:space="preserve">Особо охраняемая природная территория - это части земли, водной поверхности и воздушного пространства над ними, где располагаются природные комплексы и объекты, имеющие особое природоохранное, научное, культурное, рекреационное, эстетическое и оздоровительное назначение </w:t>
      </w:r>
    </w:p>
    <w:p w14:paraId="21534BC9">
      <w:pPr>
        <w:spacing w:line="276" w:lineRule="auto"/>
        <w:ind w:firstLine="567"/>
        <w:jc w:val="both"/>
        <w:rPr>
          <w:sz w:val="28"/>
          <w:szCs w:val="28"/>
          <w:lang w:val="ru-RU"/>
        </w:rPr>
      </w:pPr>
      <w:r>
        <w:rPr>
          <w:sz w:val="28"/>
          <w:szCs w:val="28"/>
          <w:lang w:val="ru-RU"/>
        </w:rPr>
        <w:t>Особо охраняемые природные территории предназначены для сохранения природного ландшафта, экологически чистой окружающей среды, ценных в природном отношении территорий, растительного и животного мира.</w:t>
      </w:r>
    </w:p>
    <w:p w14:paraId="7D97322D">
      <w:pPr>
        <w:pStyle w:val="4"/>
        <w:shd w:val="clear" w:color="auto" w:fill="FFFFFF"/>
        <w:spacing w:before="40" w:line="317" w:lineRule="exact"/>
        <w:ind w:left="1440" w:hanging="720"/>
        <w:rPr>
          <w:rFonts w:ascii="Times New Roman" w:hAnsi="Times New Roman" w:eastAsia="Times New Roman"/>
          <w:color w:val="auto"/>
          <w:sz w:val="24"/>
          <w:szCs w:val="24"/>
          <w:lang w:val="ru-RU" w:eastAsia="ru-RU"/>
        </w:rPr>
      </w:pPr>
      <w:bookmarkStart w:id="15" w:name="_Toc103267269"/>
      <w:r>
        <w:rPr>
          <w:rFonts w:ascii="Times New Roman" w:hAnsi="Times New Roman" w:eastAsia="Times New Roman"/>
          <w:color w:val="auto"/>
          <w:sz w:val="24"/>
          <w:szCs w:val="24"/>
          <w:lang w:val="ru-RU" w:eastAsia="ru-RU"/>
        </w:rPr>
        <w:t>2.5.7 Защитные зоны объектов культурного наследия</w:t>
      </w:r>
      <w:bookmarkEnd w:id="15"/>
    </w:p>
    <w:p w14:paraId="267F2544">
      <w:pPr>
        <w:spacing w:line="276" w:lineRule="auto"/>
        <w:ind w:firstLine="567"/>
        <w:jc w:val="both"/>
        <w:rPr>
          <w:b/>
          <w:sz w:val="28"/>
          <w:szCs w:val="28"/>
          <w:lang w:val="ru-RU"/>
        </w:rPr>
      </w:pPr>
      <w:r>
        <w:rPr>
          <w:sz w:val="28"/>
          <w:szCs w:val="28"/>
          <w:lang w:val="ru-RU"/>
        </w:rPr>
        <w:t>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14:paraId="54FD5439">
      <w:pPr>
        <w:pStyle w:val="30"/>
        <w:spacing w:before="7" w:line="360" w:lineRule="auto"/>
        <w:ind w:left="115" w:right="110" w:firstLine="736"/>
        <w:jc w:val="both"/>
        <w:rPr>
          <w:lang w:val="ru-RU"/>
        </w:rPr>
      </w:pPr>
    </w:p>
    <w:p w14:paraId="3F0B5919">
      <w:pPr>
        <w:pStyle w:val="3"/>
        <w:numPr>
          <w:ilvl w:val="0"/>
          <w:numId w:val="4"/>
        </w:numPr>
        <w:shd w:val="clear" w:color="auto" w:fill="FFFFFF"/>
        <w:spacing w:before="240"/>
        <w:ind w:left="735" w:hanging="375"/>
        <w:jc w:val="center"/>
        <w:rPr>
          <w:rFonts w:ascii="Times New Roman" w:hAnsi="Times New Roman" w:cs="Times New Roman"/>
          <w:color w:val="auto"/>
          <w:sz w:val="28"/>
          <w:lang w:val="ru-RU"/>
        </w:rPr>
      </w:pPr>
      <w:r>
        <w:rPr>
          <w:rFonts w:ascii="Times New Roman" w:hAnsi="Times New Roman" w:cs="Times New Roman"/>
          <w:color w:val="auto"/>
          <w:sz w:val="28"/>
          <w:lang w:val="ru-RU"/>
        </w:rPr>
        <w:t>Обоснование выбранного варианта размещения объектов местного значения муниципального округа</w:t>
      </w:r>
    </w:p>
    <w:p w14:paraId="3284F188">
      <w:pPr>
        <w:spacing w:line="276" w:lineRule="auto"/>
        <w:ind w:firstLine="567"/>
        <w:jc w:val="both"/>
        <w:rPr>
          <w:sz w:val="28"/>
          <w:szCs w:val="28"/>
          <w:lang w:val="ru-RU"/>
        </w:rPr>
      </w:pPr>
      <w:r>
        <w:rPr>
          <w:sz w:val="28"/>
          <w:szCs w:val="28"/>
          <w:lang w:val="ru-RU"/>
        </w:rPr>
        <w:t>Генеральным планом не предусмотрены мероприятия по строительству и реконструкции объектов местного значения в селе Сухарево.</w:t>
      </w:r>
    </w:p>
    <w:p w14:paraId="44D8F374">
      <w:pPr>
        <w:spacing w:line="276" w:lineRule="auto"/>
        <w:ind w:left="567"/>
        <w:jc w:val="both"/>
        <w:rPr>
          <w:iCs/>
          <w:sz w:val="28"/>
          <w:szCs w:val="28"/>
          <w:lang w:val="ru-RU"/>
        </w:rPr>
      </w:pPr>
    </w:p>
    <w:p w14:paraId="47036107">
      <w:pPr>
        <w:pStyle w:val="2"/>
        <w:numPr>
          <w:ilvl w:val="0"/>
          <w:numId w:val="2"/>
        </w:numPr>
        <w:tabs>
          <w:tab w:val="left" w:pos="966"/>
        </w:tabs>
        <w:ind w:right="114"/>
        <w:jc w:val="both"/>
        <w:rPr>
          <w:lang w:val="ru-RU"/>
        </w:rPr>
      </w:pPr>
      <w:bookmarkStart w:id="16" w:name="_Toc198723408"/>
      <w:r>
        <w:rPr>
          <w:lang w:val="ru-RU"/>
        </w:rPr>
        <w:t>Оценка возможного влияния планируемых для размещения объектов местного значения муниципального округа на комплексное развитие этих территорий.</w:t>
      </w:r>
      <w:bookmarkEnd w:id="16"/>
    </w:p>
    <w:p w14:paraId="593C5BB9">
      <w:pPr>
        <w:spacing w:line="276" w:lineRule="auto"/>
        <w:ind w:firstLine="567"/>
        <w:jc w:val="both"/>
        <w:rPr>
          <w:sz w:val="28"/>
          <w:szCs w:val="28"/>
          <w:lang w:val="ru-RU"/>
        </w:rPr>
      </w:pPr>
      <w:r>
        <w:rPr>
          <w:sz w:val="28"/>
          <w:szCs w:val="28"/>
          <w:lang w:val="ru-RU"/>
        </w:rPr>
        <w:t>Генеральным планом не предусмотрены мероприятия по строительству и реконструкции объектов местного значения в селе Сухарево.</w:t>
      </w:r>
    </w:p>
    <w:p w14:paraId="240B14F9">
      <w:pPr>
        <w:spacing w:line="276" w:lineRule="auto"/>
        <w:ind w:firstLine="567"/>
        <w:jc w:val="both"/>
        <w:rPr>
          <w:sz w:val="28"/>
          <w:szCs w:val="28"/>
          <w:lang w:val="ru-RU"/>
        </w:rPr>
      </w:pPr>
    </w:p>
    <w:p w14:paraId="59BB943B">
      <w:pPr>
        <w:pStyle w:val="2"/>
        <w:numPr>
          <w:ilvl w:val="0"/>
          <w:numId w:val="2"/>
        </w:numPr>
        <w:tabs>
          <w:tab w:val="left" w:pos="966"/>
        </w:tabs>
        <w:ind w:right="114"/>
        <w:jc w:val="both"/>
        <w:rPr>
          <w:lang w:val="ru-RU"/>
        </w:rPr>
      </w:pPr>
      <w:bookmarkStart w:id="17" w:name="_Toc198723409"/>
      <w:r>
        <w:rPr>
          <w:lang w:val="ru-RU"/>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территории муниципального округа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17"/>
    </w:p>
    <w:p w14:paraId="405C9699">
      <w:pPr>
        <w:rPr>
          <w:highlight w:val="yellow"/>
          <w:lang w:val="ru-RU"/>
        </w:rPr>
      </w:pPr>
    </w:p>
    <w:p w14:paraId="558DA507">
      <w:pPr>
        <w:spacing w:line="276" w:lineRule="auto"/>
        <w:ind w:firstLine="567"/>
        <w:contextualSpacing/>
        <w:jc w:val="both"/>
        <w:rPr>
          <w:sz w:val="28"/>
          <w:szCs w:val="28"/>
          <w:lang w:val="ru-RU"/>
        </w:rPr>
      </w:pPr>
      <w:r>
        <w:rPr>
          <w:sz w:val="28"/>
          <w:szCs w:val="28"/>
          <w:lang w:val="ru-RU"/>
        </w:rPr>
        <w:t>На территории села Сухарево не предусмотрено размещение объектов федерального и регионального значения.</w:t>
      </w:r>
    </w:p>
    <w:p w14:paraId="1771008E">
      <w:pPr>
        <w:pStyle w:val="50"/>
        <w:spacing w:line="276" w:lineRule="auto"/>
        <w:ind w:left="720" w:firstLine="0"/>
        <w:jc w:val="both"/>
        <w:rPr>
          <w:iCs/>
          <w:sz w:val="28"/>
          <w:szCs w:val="28"/>
          <w:lang w:val="ru-RU"/>
        </w:rPr>
      </w:pPr>
    </w:p>
    <w:p w14:paraId="2106B7EA">
      <w:pPr>
        <w:pStyle w:val="2"/>
        <w:numPr>
          <w:ilvl w:val="0"/>
          <w:numId w:val="2"/>
        </w:numPr>
        <w:tabs>
          <w:tab w:val="left" w:pos="966"/>
        </w:tabs>
        <w:ind w:right="114"/>
        <w:jc w:val="both"/>
        <w:rPr>
          <w:lang w:val="ru-RU"/>
        </w:rPr>
      </w:pPr>
      <w:bookmarkStart w:id="18" w:name="_Toc198723410"/>
      <w:r>
        <w:rPr>
          <w:lang w:val="ru-RU"/>
        </w:rPr>
        <w:t>Перечень и характеристика основных факторов риска возникновения чрезвычайных ситуаций природного и техногенного характера</w:t>
      </w:r>
      <w:bookmarkEnd w:id="18"/>
    </w:p>
    <w:p w14:paraId="2C305CDB">
      <w:pPr>
        <w:pStyle w:val="3"/>
        <w:numPr>
          <w:ilvl w:val="1"/>
          <w:numId w:val="6"/>
        </w:numPr>
        <w:shd w:val="clear" w:color="auto" w:fill="FFFFFF"/>
        <w:spacing w:before="240"/>
        <w:ind w:left="0" w:firstLine="284"/>
        <w:rPr>
          <w:rFonts w:ascii="Times New Roman" w:hAnsi="Times New Roman"/>
          <w:color w:val="auto"/>
          <w:sz w:val="28"/>
          <w:lang w:val="ru-RU"/>
        </w:rPr>
      </w:pPr>
      <w:r>
        <w:rPr>
          <w:rFonts w:ascii="Times New Roman" w:hAnsi="Times New Roman"/>
          <w:color w:val="auto"/>
          <w:sz w:val="28"/>
          <w:lang w:val="ru-RU"/>
        </w:rPr>
        <w:t>Перечень возможных источников ЧС техногенного характера на проектируемой территории, а также вблизи указанной территории</w:t>
      </w:r>
    </w:p>
    <w:p w14:paraId="7517EB04">
      <w:pPr>
        <w:spacing w:line="276" w:lineRule="auto"/>
        <w:ind w:firstLine="567"/>
        <w:contextualSpacing/>
        <w:jc w:val="both"/>
        <w:rPr>
          <w:sz w:val="28"/>
          <w:szCs w:val="28"/>
          <w:lang w:val="ru-RU"/>
        </w:rPr>
      </w:pPr>
    </w:p>
    <w:p w14:paraId="1E51C69F">
      <w:pPr>
        <w:spacing w:line="276" w:lineRule="auto"/>
        <w:ind w:firstLine="567"/>
        <w:contextualSpacing/>
        <w:jc w:val="both"/>
        <w:rPr>
          <w:sz w:val="28"/>
          <w:szCs w:val="28"/>
          <w:lang w:val="ru-RU"/>
        </w:rPr>
      </w:pPr>
      <w:r>
        <w:rPr>
          <w:sz w:val="28"/>
          <w:szCs w:val="28"/>
          <w:lang w:val="ru-RU"/>
        </w:rPr>
        <w:t>Техногенная чрезвычайная ситуация – состояние, при котором в результате возникновения источника техногенной чрезвычайной ситуации на объекте, определенной территории или акватории нарушаются нормальные условия жизни и деятельности людей, возникает угроза их жизни и здоровью, наносится ущерб имуществу населения, народному хозяйству и окружающей природной среде.</w:t>
      </w:r>
    </w:p>
    <w:p w14:paraId="17716D6B">
      <w:pPr>
        <w:spacing w:line="276" w:lineRule="auto"/>
        <w:ind w:firstLine="567"/>
        <w:contextualSpacing/>
        <w:jc w:val="both"/>
        <w:rPr>
          <w:sz w:val="28"/>
          <w:szCs w:val="28"/>
          <w:lang w:val="ru-RU"/>
        </w:rPr>
      </w:pPr>
      <w:r>
        <w:rPr>
          <w:sz w:val="28"/>
          <w:szCs w:val="28"/>
          <w:lang w:val="ru-RU"/>
        </w:rPr>
        <w:t>Техногенные чрезвычайные ситуации могут возникать на основе событий техногенного характера вследствие конструктивных недостатков объекта (сооружения, комплекса, системы, агрегата и т.д.), изношенности оборудования, низкой квалификации персонала, нарушения техники безопасности в ходе эксплуатации объекта.</w:t>
      </w:r>
    </w:p>
    <w:p w14:paraId="64EF42AB">
      <w:pPr>
        <w:spacing w:line="276" w:lineRule="auto"/>
        <w:ind w:firstLine="567"/>
        <w:contextualSpacing/>
        <w:jc w:val="both"/>
        <w:rPr>
          <w:sz w:val="28"/>
          <w:szCs w:val="28"/>
        </w:rPr>
      </w:pPr>
      <w:r>
        <w:rPr>
          <w:sz w:val="28"/>
          <w:szCs w:val="28"/>
          <w:lang w:val="ru-RU"/>
        </w:rPr>
        <w:t xml:space="preserve">Чрезвычайные ситуации техногенного характера на территории муниципального образования классифицируются в соответствии с ГОСТ Р 22.0.07-95 «Источники техногенных чрезвычайных ситуаций. </w:t>
      </w:r>
      <w:r>
        <w:rPr>
          <w:sz w:val="28"/>
          <w:szCs w:val="28"/>
        </w:rPr>
        <w:t>Классификация и номенклатура поражающих факторов и их параметров».</w:t>
      </w:r>
    </w:p>
    <w:p w14:paraId="649BB022">
      <w:pPr>
        <w:pStyle w:val="50"/>
        <w:widowControl/>
        <w:numPr>
          <w:ilvl w:val="0"/>
          <w:numId w:val="7"/>
        </w:numPr>
        <w:autoSpaceDE/>
        <w:autoSpaceDN/>
        <w:spacing w:after="200" w:line="276" w:lineRule="auto"/>
        <w:contextualSpacing/>
        <w:jc w:val="both"/>
        <w:rPr>
          <w:sz w:val="28"/>
          <w:szCs w:val="28"/>
          <w:lang w:val="ru-RU"/>
        </w:rPr>
      </w:pPr>
      <w:r>
        <w:rPr>
          <w:sz w:val="28"/>
          <w:szCs w:val="28"/>
          <w:lang w:val="ru-RU"/>
        </w:rPr>
        <w:t>Поражающие факторы источников техногенных ЧС классифицируют по происхождению и механизму воздействия.</w:t>
      </w:r>
    </w:p>
    <w:p w14:paraId="0A66416F">
      <w:pPr>
        <w:pStyle w:val="50"/>
        <w:widowControl/>
        <w:numPr>
          <w:ilvl w:val="0"/>
          <w:numId w:val="7"/>
        </w:numPr>
        <w:autoSpaceDE/>
        <w:autoSpaceDN/>
        <w:spacing w:line="276" w:lineRule="auto"/>
        <w:contextualSpacing/>
        <w:jc w:val="both"/>
        <w:rPr>
          <w:sz w:val="28"/>
          <w:szCs w:val="28"/>
          <w:lang w:val="ru-RU"/>
        </w:rPr>
      </w:pPr>
      <w:r>
        <w:rPr>
          <w:sz w:val="28"/>
          <w:szCs w:val="28"/>
          <w:lang w:val="ru-RU"/>
        </w:rPr>
        <w:t>Поражающие факторы источников техногенных ЧС по происхождению подразделяют на факторы:</w:t>
      </w:r>
    </w:p>
    <w:p w14:paraId="19B6596D">
      <w:pPr>
        <w:spacing w:line="276" w:lineRule="auto"/>
        <w:ind w:firstLine="567"/>
        <w:contextualSpacing/>
        <w:jc w:val="both"/>
        <w:rPr>
          <w:sz w:val="28"/>
          <w:szCs w:val="28"/>
          <w:lang w:val="ru-RU"/>
        </w:rPr>
      </w:pPr>
      <w:r>
        <w:rPr>
          <w:sz w:val="28"/>
          <w:szCs w:val="28"/>
          <w:lang w:val="ru-RU"/>
        </w:rPr>
        <w:t>– прямого действия или первичные;</w:t>
      </w:r>
    </w:p>
    <w:p w14:paraId="7AE9250C">
      <w:pPr>
        <w:spacing w:line="276" w:lineRule="auto"/>
        <w:ind w:firstLine="567"/>
        <w:contextualSpacing/>
        <w:jc w:val="both"/>
        <w:rPr>
          <w:sz w:val="28"/>
          <w:szCs w:val="28"/>
          <w:lang w:val="ru-RU"/>
        </w:rPr>
      </w:pPr>
      <w:r>
        <w:rPr>
          <w:sz w:val="28"/>
          <w:szCs w:val="28"/>
          <w:lang w:val="ru-RU"/>
        </w:rPr>
        <w:t>– побочного действия или вторичные.</w:t>
      </w:r>
    </w:p>
    <w:p w14:paraId="0FFDDD94">
      <w:pPr>
        <w:spacing w:line="276" w:lineRule="auto"/>
        <w:ind w:firstLine="567"/>
        <w:contextualSpacing/>
        <w:jc w:val="both"/>
        <w:rPr>
          <w:sz w:val="28"/>
          <w:szCs w:val="28"/>
          <w:lang w:val="ru-RU"/>
        </w:rPr>
      </w:pPr>
      <w:r>
        <w:rPr>
          <w:sz w:val="28"/>
          <w:szCs w:val="28"/>
          <w:lang w:val="ru-RU"/>
        </w:rPr>
        <w:t>2.1 Первичные поражающие факторы непосредственно вызываются возникновением источника техногенной ЧС.</w:t>
      </w:r>
    </w:p>
    <w:p w14:paraId="455A352D">
      <w:pPr>
        <w:spacing w:line="276" w:lineRule="auto"/>
        <w:ind w:firstLine="567"/>
        <w:contextualSpacing/>
        <w:jc w:val="both"/>
        <w:rPr>
          <w:sz w:val="28"/>
          <w:szCs w:val="28"/>
          <w:lang w:val="ru-RU"/>
        </w:rPr>
      </w:pPr>
      <w:r>
        <w:rPr>
          <w:sz w:val="28"/>
          <w:szCs w:val="28"/>
          <w:lang w:val="ru-RU"/>
        </w:rPr>
        <w:t>2.2 Вторичные поражающие факторы вызываются изменением объектов окружающей среды первичными поражающими факторами.</w:t>
      </w:r>
    </w:p>
    <w:p w14:paraId="66F8FB51">
      <w:pPr>
        <w:pStyle w:val="50"/>
        <w:widowControl/>
        <w:numPr>
          <w:ilvl w:val="0"/>
          <w:numId w:val="7"/>
        </w:numPr>
        <w:autoSpaceDE/>
        <w:autoSpaceDN/>
        <w:spacing w:line="276" w:lineRule="auto"/>
        <w:contextualSpacing/>
        <w:jc w:val="both"/>
        <w:rPr>
          <w:sz w:val="28"/>
          <w:szCs w:val="28"/>
          <w:lang w:val="ru-RU"/>
        </w:rPr>
      </w:pPr>
      <w:r>
        <w:rPr>
          <w:sz w:val="28"/>
          <w:szCs w:val="28"/>
          <w:lang w:val="ru-RU"/>
        </w:rPr>
        <w:t>Поражающие факторы источников техногенных ЧС по механизму действия подразделяют на факторы:</w:t>
      </w:r>
    </w:p>
    <w:p w14:paraId="7DFD4AF2">
      <w:pPr>
        <w:spacing w:line="276" w:lineRule="auto"/>
        <w:ind w:firstLine="567"/>
        <w:contextualSpacing/>
        <w:jc w:val="both"/>
        <w:rPr>
          <w:sz w:val="28"/>
          <w:szCs w:val="28"/>
          <w:lang w:val="ru-RU"/>
        </w:rPr>
      </w:pPr>
      <w:r>
        <w:rPr>
          <w:sz w:val="28"/>
          <w:szCs w:val="28"/>
          <w:lang w:val="ru-RU"/>
        </w:rPr>
        <w:t>– физического действия;</w:t>
      </w:r>
    </w:p>
    <w:p w14:paraId="1F1388DF">
      <w:pPr>
        <w:spacing w:line="276" w:lineRule="auto"/>
        <w:ind w:firstLine="567"/>
        <w:contextualSpacing/>
        <w:jc w:val="both"/>
        <w:rPr>
          <w:sz w:val="28"/>
          <w:szCs w:val="28"/>
          <w:lang w:val="ru-RU"/>
        </w:rPr>
      </w:pPr>
      <w:r>
        <w:rPr>
          <w:sz w:val="28"/>
          <w:szCs w:val="28"/>
          <w:lang w:val="ru-RU"/>
        </w:rPr>
        <w:t>– химического действия.</w:t>
      </w:r>
    </w:p>
    <w:p w14:paraId="4BFF5147">
      <w:pPr>
        <w:spacing w:line="276" w:lineRule="auto"/>
        <w:ind w:firstLine="567"/>
        <w:contextualSpacing/>
        <w:jc w:val="both"/>
        <w:rPr>
          <w:sz w:val="28"/>
          <w:szCs w:val="28"/>
          <w:lang w:val="ru-RU"/>
        </w:rPr>
      </w:pPr>
      <w:r>
        <w:rPr>
          <w:sz w:val="28"/>
          <w:szCs w:val="28"/>
          <w:lang w:val="ru-RU"/>
        </w:rPr>
        <w:t>3.1 К поражающим факторам физического действия относят:</w:t>
      </w:r>
    </w:p>
    <w:p w14:paraId="4352391D">
      <w:pPr>
        <w:spacing w:line="276" w:lineRule="auto"/>
        <w:ind w:firstLine="567"/>
        <w:contextualSpacing/>
        <w:jc w:val="both"/>
        <w:rPr>
          <w:sz w:val="28"/>
          <w:szCs w:val="28"/>
          <w:lang w:val="ru-RU"/>
        </w:rPr>
      </w:pPr>
      <w:r>
        <w:rPr>
          <w:sz w:val="28"/>
          <w:szCs w:val="28"/>
          <w:lang w:val="ru-RU"/>
        </w:rPr>
        <w:t>– воздушную ударную волну;</w:t>
      </w:r>
    </w:p>
    <w:p w14:paraId="706A67B9">
      <w:pPr>
        <w:spacing w:line="276" w:lineRule="auto"/>
        <w:ind w:firstLine="567"/>
        <w:contextualSpacing/>
        <w:jc w:val="both"/>
        <w:rPr>
          <w:sz w:val="28"/>
          <w:szCs w:val="28"/>
          <w:lang w:val="ru-RU"/>
        </w:rPr>
      </w:pPr>
      <w:r>
        <w:rPr>
          <w:sz w:val="28"/>
          <w:szCs w:val="28"/>
          <w:lang w:val="ru-RU"/>
        </w:rPr>
        <w:t>– волну сжатия в грунте;</w:t>
      </w:r>
    </w:p>
    <w:p w14:paraId="4301195C">
      <w:pPr>
        <w:spacing w:line="276" w:lineRule="auto"/>
        <w:ind w:firstLine="567"/>
        <w:contextualSpacing/>
        <w:jc w:val="both"/>
        <w:rPr>
          <w:sz w:val="28"/>
          <w:szCs w:val="28"/>
          <w:lang w:val="ru-RU"/>
        </w:rPr>
      </w:pPr>
      <w:r>
        <w:rPr>
          <w:sz w:val="28"/>
          <w:szCs w:val="28"/>
          <w:lang w:val="ru-RU"/>
        </w:rPr>
        <w:t>– сейсмовзрывную волну;</w:t>
      </w:r>
    </w:p>
    <w:p w14:paraId="65311FBC">
      <w:pPr>
        <w:spacing w:line="276" w:lineRule="auto"/>
        <w:ind w:firstLine="567"/>
        <w:contextualSpacing/>
        <w:jc w:val="both"/>
        <w:rPr>
          <w:sz w:val="28"/>
          <w:szCs w:val="28"/>
          <w:lang w:val="ru-RU"/>
        </w:rPr>
      </w:pPr>
      <w:r>
        <w:rPr>
          <w:sz w:val="28"/>
          <w:szCs w:val="28"/>
          <w:lang w:val="ru-RU"/>
        </w:rPr>
        <w:t>– волну прорыва гидротехнических сооружений;</w:t>
      </w:r>
    </w:p>
    <w:p w14:paraId="1135CCF6">
      <w:pPr>
        <w:spacing w:line="276" w:lineRule="auto"/>
        <w:ind w:firstLine="567"/>
        <w:contextualSpacing/>
        <w:jc w:val="both"/>
        <w:rPr>
          <w:sz w:val="28"/>
          <w:szCs w:val="28"/>
          <w:lang w:val="ru-RU"/>
        </w:rPr>
      </w:pPr>
      <w:r>
        <w:rPr>
          <w:sz w:val="28"/>
          <w:szCs w:val="28"/>
          <w:lang w:val="ru-RU"/>
        </w:rPr>
        <w:t>– обломки или осколки;</w:t>
      </w:r>
    </w:p>
    <w:p w14:paraId="27372D12">
      <w:pPr>
        <w:spacing w:line="276" w:lineRule="auto"/>
        <w:ind w:firstLine="567"/>
        <w:contextualSpacing/>
        <w:jc w:val="both"/>
        <w:rPr>
          <w:sz w:val="28"/>
          <w:szCs w:val="28"/>
          <w:lang w:val="ru-RU"/>
        </w:rPr>
      </w:pPr>
      <w:r>
        <w:rPr>
          <w:sz w:val="28"/>
          <w:szCs w:val="28"/>
          <w:lang w:val="ru-RU"/>
        </w:rPr>
        <w:t>– экстремальный нагрев среды;</w:t>
      </w:r>
    </w:p>
    <w:p w14:paraId="3FCDEFC6">
      <w:pPr>
        <w:spacing w:line="276" w:lineRule="auto"/>
        <w:ind w:firstLine="567"/>
        <w:contextualSpacing/>
        <w:jc w:val="both"/>
        <w:rPr>
          <w:sz w:val="28"/>
          <w:szCs w:val="28"/>
          <w:lang w:val="ru-RU"/>
        </w:rPr>
      </w:pPr>
      <w:r>
        <w:rPr>
          <w:sz w:val="28"/>
          <w:szCs w:val="28"/>
          <w:lang w:val="ru-RU"/>
        </w:rPr>
        <w:t>– тепловое излучение;</w:t>
      </w:r>
    </w:p>
    <w:p w14:paraId="16F06F88">
      <w:pPr>
        <w:spacing w:line="276" w:lineRule="auto"/>
        <w:ind w:firstLine="567"/>
        <w:contextualSpacing/>
        <w:jc w:val="both"/>
        <w:rPr>
          <w:sz w:val="28"/>
          <w:szCs w:val="28"/>
          <w:lang w:val="ru-RU"/>
        </w:rPr>
      </w:pPr>
      <w:r>
        <w:rPr>
          <w:sz w:val="28"/>
          <w:szCs w:val="28"/>
          <w:lang w:val="ru-RU"/>
        </w:rPr>
        <w:t>– ионизирующее излучение.</w:t>
      </w:r>
    </w:p>
    <w:p w14:paraId="7E701AE1">
      <w:pPr>
        <w:pStyle w:val="50"/>
        <w:numPr>
          <w:ilvl w:val="1"/>
          <w:numId w:val="7"/>
        </w:numPr>
        <w:spacing w:line="276" w:lineRule="auto"/>
        <w:contextualSpacing/>
        <w:jc w:val="both"/>
        <w:rPr>
          <w:sz w:val="28"/>
          <w:szCs w:val="28"/>
          <w:lang w:val="ru-RU"/>
        </w:rPr>
      </w:pPr>
      <w:r>
        <w:rPr>
          <w:sz w:val="28"/>
          <w:szCs w:val="28"/>
          <w:lang w:val="ru-RU"/>
        </w:rPr>
        <w:t>К поражающим факторам химического действия относят токсическое действие опасных химических веществ.</w:t>
      </w:r>
    </w:p>
    <w:p w14:paraId="0569CA7C">
      <w:pPr>
        <w:pStyle w:val="50"/>
        <w:spacing w:line="276" w:lineRule="auto"/>
        <w:ind w:left="1107" w:firstLine="0"/>
        <w:contextualSpacing/>
        <w:jc w:val="both"/>
        <w:rPr>
          <w:sz w:val="28"/>
          <w:szCs w:val="28"/>
          <w:lang w:val="ru-RU"/>
        </w:rPr>
      </w:pPr>
    </w:p>
    <w:p w14:paraId="358D4334">
      <w:pPr>
        <w:spacing w:line="276" w:lineRule="auto"/>
        <w:ind w:firstLine="567"/>
        <w:contextualSpacing/>
        <w:jc w:val="both"/>
        <w:rPr>
          <w:sz w:val="28"/>
          <w:szCs w:val="28"/>
          <w:lang w:val="ru-RU"/>
        </w:rPr>
      </w:pPr>
      <w:r>
        <w:rPr>
          <w:sz w:val="28"/>
          <w:szCs w:val="28"/>
          <w:lang w:val="ru-RU"/>
        </w:rPr>
        <w:t>На территории села Сухарево возможны чрезвычайные ситуации на объектах:</w:t>
      </w:r>
    </w:p>
    <w:p w14:paraId="167C99A7">
      <w:pPr>
        <w:pStyle w:val="20"/>
        <w:numPr>
          <w:ilvl w:val="0"/>
          <w:numId w:val="8"/>
        </w:numPr>
        <w:spacing w:line="276" w:lineRule="auto"/>
        <w:contextualSpacing/>
        <w:jc w:val="both"/>
        <w:rPr>
          <w:sz w:val="28"/>
          <w:szCs w:val="28"/>
        </w:rPr>
      </w:pPr>
      <w:r>
        <w:rPr>
          <w:sz w:val="28"/>
          <w:szCs w:val="28"/>
        </w:rPr>
        <w:t>коммунальных системах жизнеобеспечения,</w:t>
      </w:r>
    </w:p>
    <w:p w14:paraId="4A4A7663">
      <w:pPr>
        <w:pStyle w:val="20"/>
        <w:numPr>
          <w:ilvl w:val="0"/>
          <w:numId w:val="8"/>
        </w:numPr>
        <w:spacing w:line="276" w:lineRule="auto"/>
        <w:contextualSpacing/>
        <w:jc w:val="both"/>
        <w:rPr>
          <w:sz w:val="28"/>
          <w:szCs w:val="28"/>
        </w:rPr>
      </w:pPr>
      <w:r>
        <w:rPr>
          <w:sz w:val="28"/>
          <w:szCs w:val="28"/>
        </w:rPr>
        <w:t>системах электроснабжения.</w:t>
      </w:r>
    </w:p>
    <w:p w14:paraId="528FCC6E">
      <w:pPr>
        <w:spacing w:line="276" w:lineRule="auto"/>
        <w:ind w:firstLine="567"/>
        <w:contextualSpacing/>
        <w:jc w:val="both"/>
        <w:rPr>
          <w:sz w:val="28"/>
          <w:szCs w:val="28"/>
          <w:lang w:val="ru-RU"/>
        </w:rPr>
      </w:pPr>
      <w:r>
        <w:rPr>
          <w:sz w:val="28"/>
          <w:szCs w:val="28"/>
          <w:lang w:val="ru-RU"/>
        </w:rPr>
        <w:t>Риск возникновения ЧС пожаро- и взрывоопасных объектах (ПВОО), на химически опасных объектах (ХОО), радиационно опасных объектах, гидротехнических сооружениях, железнодорожном, воздушном, водном транспорте не прогнозируется, в связи с отсутствием данных объектов на территории села Сухарево.</w:t>
      </w:r>
    </w:p>
    <w:p w14:paraId="07A4835A">
      <w:pPr>
        <w:keepNext/>
        <w:ind w:firstLine="720"/>
        <w:jc w:val="center"/>
        <w:rPr>
          <w:b/>
          <w:i/>
          <w:szCs w:val="28"/>
          <w:lang w:val="ru-RU"/>
        </w:rPr>
      </w:pPr>
      <w:r>
        <w:rPr>
          <w:b/>
          <w:i/>
          <w:szCs w:val="28"/>
          <w:lang w:val="ru-RU"/>
        </w:rPr>
        <w:t>Аварии на химически опасных объектах</w:t>
      </w:r>
    </w:p>
    <w:p w14:paraId="5EC5C7BD">
      <w:pPr>
        <w:spacing w:line="276" w:lineRule="auto"/>
        <w:ind w:firstLine="567"/>
        <w:contextualSpacing/>
        <w:jc w:val="both"/>
        <w:rPr>
          <w:sz w:val="28"/>
          <w:szCs w:val="28"/>
          <w:lang w:val="ru-RU"/>
        </w:rPr>
      </w:pPr>
      <w:r>
        <w:rPr>
          <w:sz w:val="28"/>
          <w:szCs w:val="28"/>
          <w:lang w:val="ru-RU"/>
        </w:rPr>
        <w:t>Аварии с выбросом (угрозой выброса) химически опасных веществ возможны при их производстве, переработке, хранении (захоронении), транспортировке и влекут за собой химическое поражение людей, продовольствия, пищевого сырья и кормов, сельскохозяйственных животных и растений, а также химическое заражение территории (атмосферы, грунта, воды).</w:t>
      </w:r>
    </w:p>
    <w:p w14:paraId="1047288E">
      <w:pPr>
        <w:spacing w:line="276" w:lineRule="auto"/>
        <w:ind w:firstLine="567"/>
        <w:contextualSpacing/>
        <w:jc w:val="both"/>
        <w:rPr>
          <w:sz w:val="28"/>
          <w:szCs w:val="28"/>
          <w:lang w:val="ru-RU"/>
        </w:rPr>
      </w:pPr>
      <w:r>
        <w:rPr>
          <w:sz w:val="28"/>
          <w:szCs w:val="28"/>
          <w:lang w:val="ru-RU"/>
        </w:rPr>
        <w:t>При аварии на ХОО или при его разрушении аварийно-химически опасные вещества (далее – АХОВ) выбрасываются в окружающую среду в количествах, достаточных для массового поражения людей и животных, образуя зоны и очаги химического заражения.</w:t>
      </w:r>
    </w:p>
    <w:p w14:paraId="553F49A3">
      <w:pPr>
        <w:spacing w:line="276" w:lineRule="auto"/>
        <w:ind w:firstLine="567"/>
        <w:contextualSpacing/>
        <w:jc w:val="both"/>
        <w:rPr>
          <w:sz w:val="28"/>
          <w:szCs w:val="28"/>
          <w:lang w:val="ru-RU"/>
        </w:rPr>
      </w:pPr>
      <w:r>
        <w:rPr>
          <w:sz w:val="28"/>
          <w:szCs w:val="28"/>
          <w:lang w:val="ru-RU"/>
        </w:rPr>
        <w:t>На территории села Сухарево нет предприятий, входящих в перечень химически опасных объектов.</w:t>
      </w:r>
    </w:p>
    <w:p w14:paraId="7E1FFA1F">
      <w:pPr>
        <w:spacing w:line="276" w:lineRule="auto"/>
        <w:ind w:firstLine="567"/>
        <w:contextualSpacing/>
        <w:jc w:val="both"/>
        <w:rPr>
          <w:b/>
          <w:sz w:val="16"/>
          <w:szCs w:val="16"/>
          <w:lang w:val="ru-RU" w:eastAsia="ru-RU"/>
        </w:rPr>
      </w:pPr>
      <w:r>
        <w:rPr>
          <w:sz w:val="28"/>
          <w:szCs w:val="28"/>
          <w:lang w:val="ru-RU"/>
        </w:rPr>
        <w:t>В случае аварий на потенциально опасных объектах (ОАО «Валуйское молоко», магистральном аммиакопроводе «Тольятти – Одесса»), границы зон возможного поражения не выходят за границы данного предприятия.</w:t>
      </w:r>
    </w:p>
    <w:p w14:paraId="75FE6284">
      <w:pPr>
        <w:keepNext/>
        <w:ind w:firstLine="720"/>
        <w:jc w:val="center"/>
        <w:rPr>
          <w:b/>
          <w:i/>
          <w:szCs w:val="28"/>
          <w:lang w:val="ru-RU"/>
        </w:rPr>
      </w:pPr>
      <w:r>
        <w:rPr>
          <w:b/>
          <w:i/>
          <w:szCs w:val="28"/>
          <w:lang w:val="ru-RU"/>
        </w:rPr>
        <w:t>Аварии на пожаро- и взрывоопасных объектах</w:t>
      </w:r>
    </w:p>
    <w:p w14:paraId="6A9B7C5F">
      <w:pPr>
        <w:spacing w:line="276" w:lineRule="auto"/>
        <w:ind w:firstLine="567"/>
        <w:contextualSpacing/>
        <w:jc w:val="both"/>
        <w:rPr>
          <w:sz w:val="28"/>
          <w:szCs w:val="28"/>
          <w:lang w:val="ru-RU"/>
        </w:rPr>
      </w:pPr>
      <w:r>
        <w:rPr>
          <w:sz w:val="28"/>
          <w:szCs w:val="28"/>
          <w:lang w:val="ru-RU"/>
        </w:rPr>
        <w:t>На территории села Сухарево Белгородской области потенциально опасных объектов (ПОО) нет.</w:t>
      </w:r>
    </w:p>
    <w:p w14:paraId="6B4C90CB">
      <w:pPr>
        <w:spacing w:line="276" w:lineRule="auto"/>
        <w:ind w:firstLine="567"/>
        <w:contextualSpacing/>
        <w:jc w:val="both"/>
        <w:rPr>
          <w:b/>
          <w:color w:val="FF0000"/>
          <w:sz w:val="28"/>
          <w:szCs w:val="28"/>
          <w:lang w:val="ru-RU"/>
        </w:rPr>
      </w:pPr>
      <w:r>
        <w:rPr>
          <w:sz w:val="28"/>
          <w:szCs w:val="28"/>
          <w:lang w:val="ru-RU"/>
        </w:rPr>
        <w:t>Определенную опасность локального характера представляют жилые газифицированные дома.</w:t>
      </w:r>
      <w:r>
        <w:rPr>
          <w:b/>
          <w:color w:val="FF0000"/>
          <w:sz w:val="28"/>
          <w:szCs w:val="28"/>
          <w:lang w:val="ru-RU"/>
        </w:rPr>
        <w:tab/>
      </w:r>
    </w:p>
    <w:p w14:paraId="0D5CDC70">
      <w:pPr>
        <w:spacing w:line="276" w:lineRule="auto"/>
        <w:ind w:firstLine="567"/>
        <w:contextualSpacing/>
        <w:jc w:val="both"/>
        <w:rPr>
          <w:sz w:val="28"/>
          <w:szCs w:val="28"/>
          <w:lang w:val="ru-RU"/>
        </w:rPr>
      </w:pPr>
      <w:r>
        <w:rPr>
          <w:sz w:val="28"/>
          <w:szCs w:val="28"/>
          <w:lang w:val="ru-RU"/>
        </w:rPr>
        <w:t>За отчетный период чрезвычайных ситуаций техногенного характера на территории села Сухарево не было.</w:t>
      </w:r>
    </w:p>
    <w:p w14:paraId="27CCC898">
      <w:pPr>
        <w:spacing w:line="276" w:lineRule="auto"/>
        <w:ind w:firstLine="567"/>
        <w:contextualSpacing/>
        <w:jc w:val="both"/>
        <w:rPr>
          <w:sz w:val="28"/>
          <w:szCs w:val="28"/>
          <w:lang w:val="ru-RU"/>
        </w:rPr>
      </w:pPr>
      <w:r>
        <w:rPr>
          <w:sz w:val="28"/>
          <w:szCs w:val="28"/>
          <w:lang w:val="ru-RU"/>
        </w:rPr>
        <w:t>В случае аварий на потенциально опасных объектах (ОАО «Валуйское молоко», филиал «Уразовский» ЗАО «Юг Руси», ООО «ЛАБАЗЪ», филиал «Валуйский» МЭЗ «Юг Руси», ПП «Валуйки» ООО «РусАгро Белгород») границы зон возможного поражения не выходят за границы данных предприятий.</w:t>
      </w:r>
    </w:p>
    <w:p w14:paraId="2ED227EB">
      <w:pPr>
        <w:spacing w:line="276" w:lineRule="auto"/>
        <w:ind w:firstLine="567"/>
        <w:contextualSpacing/>
        <w:jc w:val="both"/>
        <w:rPr>
          <w:b/>
          <w:i/>
          <w:szCs w:val="28"/>
          <w:lang w:val="ru-RU"/>
        </w:rPr>
      </w:pPr>
      <w:r>
        <w:rPr>
          <w:sz w:val="28"/>
          <w:szCs w:val="28"/>
          <w:lang w:val="ru-RU"/>
        </w:rPr>
        <w:t xml:space="preserve">Нефтебазы, автозаправочные и газозаправочные станции, газонаполнительные станции, склады ГСМ и т.п. имеющих потенциальную опасность для населения и территорий отсутствуют. </w:t>
      </w:r>
    </w:p>
    <w:p w14:paraId="2667D78C">
      <w:pPr>
        <w:keepNext/>
        <w:ind w:firstLine="720"/>
        <w:jc w:val="center"/>
        <w:rPr>
          <w:b/>
          <w:i/>
          <w:szCs w:val="28"/>
          <w:lang w:val="ru-RU"/>
        </w:rPr>
      </w:pPr>
      <w:r>
        <w:rPr>
          <w:b/>
          <w:i/>
          <w:szCs w:val="28"/>
          <w:lang w:val="ru-RU"/>
        </w:rPr>
        <w:t>Аварии на гидротехнических сооружениях</w:t>
      </w:r>
    </w:p>
    <w:p w14:paraId="55AA00F6">
      <w:pPr>
        <w:spacing w:line="276" w:lineRule="auto"/>
        <w:ind w:firstLine="567"/>
        <w:contextualSpacing/>
        <w:jc w:val="both"/>
        <w:rPr>
          <w:sz w:val="28"/>
          <w:szCs w:val="28"/>
          <w:lang w:val="ru-RU"/>
        </w:rPr>
      </w:pPr>
      <w:r>
        <w:rPr>
          <w:sz w:val="28"/>
          <w:szCs w:val="28"/>
          <w:lang w:val="ru-RU"/>
        </w:rPr>
        <w:t>Гидродинамическая авария: авария на гидротехническом сооружении, связанная с распространением с большой скоростью воды и создающая угрозу возникновения техногенной чрезвычайной ситуации.</w:t>
      </w:r>
    </w:p>
    <w:p w14:paraId="72446051">
      <w:pPr>
        <w:spacing w:line="276" w:lineRule="auto"/>
        <w:ind w:firstLine="567"/>
        <w:contextualSpacing/>
        <w:jc w:val="both"/>
        <w:rPr>
          <w:sz w:val="28"/>
          <w:szCs w:val="28"/>
          <w:lang w:val="ru-RU"/>
        </w:rPr>
      </w:pPr>
      <w:r>
        <w:rPr>
          <w:sz w:val="28"/>
          <w:szCs w:val="28"/>
          <w:lang w:val="ru-RU"/>
        </w:rPr>
        <w:t>На территории села Сухарево отсутствуют водоемы, оборудованные гидротехническими сооружениями. В связи с этим, территория села не подвержена риску возникновения чрезвычайных ситуаций техногенного характера.</w:t>
      </w:r>
    </w:p>
    <w:p w14:paraId="089F8064">
      <w:pPr>
        <w:spacing w:line="276" w:lineRule="auto"/>
        <w:ind w:firstLine="567"/>
        <w:contextualSpacing/>
        <w:jc w:val="both"/>
        <w:rPr>
          <w:sz w:val="28"/>
          <w:szCs w:val="28"/>
          <w:lang w:val="ru-RU"/>
        </w:rPr>
      </w:pPr>
    </w:p>
    <w:p w14:paraId="624A4EF2">
      <w:pPr>
        <w:keepNext/>
        <w:ind w:firstLine="720"/>
        <w:jc w:val="center"/>
        <w:rPr>
          <w:b/>
          <w:i/>
          <w:szCs w:val="28"/>
          <w:lang w:val="ru-RU"/>
        </w:rPr>
      </w:pPr>
      <w:r>
        <w:rPr>
          <w:b/>
          <w:i/>
          <w:szCs w:val="28"/>
          <w:lang w:val="ru-RU"/>
        </w:rPr>
        <w:t>Аварии на магистральных трубопроводах</w:t>
      </w:r>
    </w:p>
    <w:p w14:paraId="7904A3B6">
      <w:pPr>
        <w:spacing w:line="276" w:lineRule="auto"/>
        <w:ind w:firstLine="567"/>
        <w:contextualSpacing/>
        <w:jc w:val="both"/>
        <w:rPr>
          <w:sz w:val="28"/>
          <w:szCs w:val="28"/>
          <w:lang w:val="ru-RU"/>
        </w:rPr>
      </w:pPr>
      <w:r>
        <w:rPr>
          <w:sz w:val="28"/>
          <w:szCs w:val="28"/>
          <w:lang w:val="ru-RU"/>
        </w:rPr>
        <w:t>Большая часть магистральных газопроводов имеет подземную конструктивную схему прокладки. На подземные трубопроводы воздействуют коррозионно-активные грунты. Под воздействием коррозионного износа металла уменьшается толщина стенки труб, что в свою очередь может привести к возникновению аварийных ситуаций на МГ.</w:t>
      </w:r>
    </w:p>
    <w:p w14:paraId="5F3838E2">
      <w:pPr>
        <w:spacing w:line="276" w:lineRule="auto"/>
        <w:ind w:firstLine="567"/>
        <w:contextualSpacing/>
        <w:jc w:val="both"/>
        <w:rPr>
          <w:sz w:val="28"/>
          <w:szCs w:val="28"/>
          <w:lang w:val="ru-RU"/>
        </w:rPr>
      </w:pPr>
      <w:r>
        <w:rPr>
          <w:sz w:val="28"/>
          <w:szCs w:val="28"/>
          <w:lang w:val="ru-RU"/>
        </w:rPr>
        <w:t>Безопасность объектов трубопроводного транспорта должна быть максимально высокой для обеспечения надежных бесперебойных поставок углеводородного сырья, а угроза возникновения аварий — минимизирована.</w:t>
      </w:r>
    </w:p>
    <w:p w14:paraId="0BE472B9">
      <w:pPr>
        <w:spacing w:line="276" w:lineRule="auto"/>
        <w:ind w:firstLine="567"/>
        <w:contextualSpacing/>
        <w:jc w:val="both"/>
        <w:rPr>
          <w:sz w:val="28"/>
          <w:szCs w:val="28"/>
          <w:lang w:val="ru-RU"/>
        </w:rPr>
      </w:pPr>
      <w:r>
        <w:rPr>
          <w:sz w:val="28"/>
          <w:szCs w:val="28"/>
          <w:lang w:val="ru-RU"/>
        </w:rPr>
        <w:t>Основные сценарии возможных аварий на газопроводах связаны с разрывом труб на полное сечение и истечением газа в атмосферу в критическом режиме (со скоростью звука) из двух концов газопровода (вверх и вниз по потоку). Протяженность разрыва и вероятность загорания газа имеют определенную связь как с технологическими параметрами трубопровода (его энергетическим потенциалом), так и с характеристиками грунта (плотность, наличие каменистых включений). Для трубопроводов большого диаметра (1200–1400 мм) характерны протяженные разрывы (50–70 м и более) и высокая вероятность загорания газа (0,6–0,7).</w:t>
      </w:r>
    </w:p>
    <w:p w14:paraId="356A89A1">
      <w:pPr>
        <w:spacing w:line="276" w:lineRule="auto"/>
        <w:ind w:firstLine="567"/>
        <w:contextualSpacing/>
        <w:jc w:val="both"/>
        <w:rPr>
          <w:sz w:val="28"/>
          <w:szCs w:val="28"/>
          <w:lang w:val="ru-RU"/>
        </w:rPr>
      </w:pPr>
      <w:r>
        <w:rPr>
          <w:sz w:val="28"/>
          <w:szCs w:val="28"/>
          <w:lang w:val="ru-RU"/>
        </w:rPr>
        <w:t>Горение газа может протекать в</w:t>
      </w:r>
      <w:r>
        <w:rPr>
          <w:sz w:val="28"/>
          <w:szCs w:val="28"/>
        </w:rPr>
        <w:t> </w:t>
      </w:r>
      <w:r>
        <w:rPr>
          <w:sz w:val="28"/>
          <w:szCs w:val="28"/>
          <w:lang w:val="ru-RU"/>
        </w:rPr>
        <w:t>двух основных режимах. Первый из</w:t>
      </w:r>
      <w:r>
        <w:rPr>
          <w:sz w:val="28"/>
          <w:szCs w:val="28"/>
        </w:rPr>
        <w:t> </w:t>
      </w:r>
      <w:r>
        <w:rPr>
          <w:sz w:val="28"/>
          <w:szCs w:val="28"/>
          <w:lang w:val="ru-RU"/>
        </w:rPr>
        <w:t>них предстает, как правило, в</w:t>
      </w:r>
      <w:r>
        <w:rPr>
          <w:sz w:val="28"/>
          <w:szCs w:val="28"/>
        </w:rPr>
        <w:t> </w:t>
      </w:r>
      <w:r>
        <w:rPr>
          <w:sz w:val="28"/>
          <w:szCs w:val="28"/>
          <w:lang w:val="ru-RU"/>
        </w:rPr>
        <w:t>виде двух независимых</w:t>
      </w:r>
      <w:r>
        <w:rPr>
          <w:sz w:val="28"/>
          <w:szCs w:val="28"/>
        </w:rPr>
        <w:t> </w:t>
      </w:r>
      <w:r>
        <w:rPr>
          <w:sz w:val="28"/>
          <w:szCs w:val="28"/>
          <w:lang w:val="ru-RU"/>
        </w:rPr>
        <w:t>(слабо взаимодействующих) настильных струй пламени с</w:t>
      </w:r>
      <w:r>
        <w:rPr>
          <w:sz w:val="28"/>
          <w:szCs w:val="28"/>
        </w:rPr>
        <w:t> </w:t>
      </w:r>
      <w:r>
        <w:rPr>
          <w:sz w:val="28"/>
          <w:szCs w:val="28"/>
          <w:lang w:val="ru-RU"/>
        </w:rPr>
        <w:t>ориентацией, близкой к</w:t>
      </w:r>
      <w:r>
        <w:rPr>
          <w:sz w:val="28"/>
          <w:szCs w:val="28"/>
        </w:rPr>
        <w:t> </w:t>
      </w:r>
      <w:r>
        <w:rPr>
          <w:sz w:val="28"/>
          <w:szCs w:val="28"/>
          <w:lang w:val="ru-RU"/>
        </w:rPr>
        <w:t>оси газопровода. Это характерно в</w:t>
      </w:r>
      <w:r>
        <w:rPr>
          <w:sz w:val="28"/>
          <w:szCs w:val="28"/>
        </w:rPr>
        <w:t> </w:t>
      </w:r>
      <w:r>
        <w:rPr>
          <w:sz w:val="28"/>
          <w:szCs w:val="28"/>
          <w:lang w:val="ru-RU"/>
        </w:rPr>
        <w:t>основном для трубопроводов большого диаметра</w:t>
      </w:r>
      <w:r>
        <w:rPr>
          <w:sz w:val="28"/>
          <w:szCs w:val="28"/>
        </w:rPr>
        <w:t> </w:t>
      </w:r>
      <w:r>
        <w:rPr>
          <w:sz w:val="28"/>
          <w:szCs w:val="28"/>
          <w:lang w:val="ru-RU"/>
        </w:rPr>
        <w:t>(режим</w:t>
      </w:r>
      <w:r>
        <w:rPr>
          <w:sz w:val="28"/>
          <w:szCs w:val="28"/>
        </w:rPr>
        <w:t> </w:t>
      </w:r>
      <w:r>
        <w:rPr>
          <w:sz w:val="28"/>
          <w:szCs w:val="28"/>
          <w:lang w:val="ru-RU"/>
        </w:rPr>
        <w:t>«струйного» пламени). Ко</w:t>
      </w:r>
      <w:r>
        <w:rPr>
          <w:sz w:val="28"/>
          <w:szCs w:val="28"/>
        </w:rPr>
        <w:t> </w:t>
      </w:r>
      <w:r>
        <w:rPr>
          <w:sz w:val="28"/>
          <w:szCs w:val="28"/>
          <w:lang w:val="ru-RU"/>
        </w:rPr>
        <w:t>второму следует отнести результирующий</w:t>
      </w:r>
      <w:r>
        <w:rPr>
          <w:sz w:val="28"/>
          <w:szCs w:val="28"/>
        </w:rPr>
        <w:t> </w:t>
      </w:r>
      <w:r>
        <w:rPr>
          <w:sz w:val="28"/>
          <w:szCs w:val="28"/>
          <w:lang w:val="ru-RU"/>
        </w:rPr>
        <w:t>(по</w:t>
      </w:r>
      <w:r>
        <w:rPr>
          <w:sz w:val="28"/>
          <w:szCs w:val="28"/>
        </w:rPr>
        <w:t> </w:t>
      </w:r>
      <w:r>
        <w:rPr>
          <w:sz w:val="28"/>
          <w:szCs w:val="28"/>
          <w:lang w:val="ru-RU"/>
        </w:rPr>
        <w:t>расходу газа) столб огня с</w:t>
      </w:r>
      <w:r>
        <w:rPr>
          <w:sz w:val="28"/>
          <w:szCs w:val="28"/>
        </w:rPr>
        <w:t> </w:t>
      </w:r>
      <w:r>
        <w:rPr>
          <w:sz w:val="28"/>
          <w:szCs w:val="28"/>
          <w:lang w:val="ru-RU"/>
        </w:rPr>
        <w:t>близкой к</w:t>
      </w:r>
      <w:r>
        <w:rPr>
          <w:sz w:val="28"/>
          <w:szCs w:val="28"/>
        </w:rPr>
        <w:t> </w:t>
      </w:r>
      <w:r>
        <w:rPr>
          <w:sz w:val="28"/>
          <w:szCs w:val="28"/>
          <w:lang w:val="ru-RU"/>
        </w:rPr>
        <w:t>вертикальной ориентации</w:t>
      </w:r>
      <w:r>
        <w:rPr>
          <w:sz w:val="28"/>
          <w:szCs w:val="28"/>
        </w:rPr>
        <w:t> </w:t>
      </w:r>
      <w:r>
        <w:rPr>
          <w:sz w:val="28"/>
          <w:szCs w:val="28"/>
          <w:lang w:val="ru-RU"/>
        </w:rPr>
        <w:t>(горение</w:t>
      </w:r>
      <w:r>
        <w:rPr>
          <w:sz w:val="28"/>
          <w:szCs w:val="28"/>
        </w:rPr>
        <w:t> </w:t>
      </w:r>
      <w:r>
        <w:rPr>
          <w:sz w:val="28"/>
          <w:szCs w:val="28"/>
          <w:lang w:val="ru-RU"/>
        </w:rPr>
        <w:t>«в котловане»). Данный режим горения газа более характерен для трубопроводов относительно малого диаметра.</w:t>
      </w:r>
    </w:p>
    <w:p w14:paraId="28AAF3A8">
      <w:pPr>
        <w:spacing w:line="276" w:lineRule="auto"/>
        <w:ind w:firstLine="567"/>
        <w:contextualSpacing/>
        <w:jc w:val="both"/>
        <w:rPr>
          <w:sz w:val="28"/>
          <w:szCs w:val="28"/>
          <w:lang w:val="ru-RU"/>
        </w:rPr>
      </w:pPr>
      <w:r>
        <w:rPr>
          <w:sz w:val="28"/>
          <w:szCs w:val="28"/>
          <w:lang w:val="ru-RU"/>
        </w:rPr>
        <w:t>По территории села Сухарево не проходят магистральный газопровод и аммиакопровод.</w:t>
      </w:r>
    </w:p>
    <w:p w14:paraId="2933DAD2">
      <w:pPr>
        <w:spacing w:line="276" w:lineRule="auto"/>
        <w:ind w:firstLine="567"/>
        <w:contextualSpacing/>
        <w:jc w:val="both"/>
        <w:rPr>
          <w:sz w:val="28"/>
          <w:szCs w:val="28"/>
          <w:lang w:val="ru-RU"/>
        </w:rPr>
      </w:pPr>
      <w:r>
        <w:rPr>
          <w:sz w:val="28"/>
          <w:szCs w:val="28"/>
          <w:lang w:val="ru-RU"/>
        </w:rPr>
        <w:t>В связи с этим, территория села не подвержена риску возникновения чрезвычайных ситуаций техногенного характера.</w:t>
      </w:r>
    </w:p>
    <w:p w14:paraId="09D64D89">
      <w:pPr>
        <w:tabs>
          <w:tab w:val="left" w:pos="1515"/>
        </w:tabs>
        <w:spacing w:line="276" w:lineRule="auto"/>
        <w:ind w:firstLine="567"/>
        <w:contextualSpacing/>
        <w:jc w:val="both"/>
        <w:rPr>
          <w:sz w:val="28"/>
          <w:szCs w:val="28"/>
          <w:lang w:val="ru-RU"/>
        </w:rPr>
      </w:pPr>
    </w:p>
    <w:p w14:paraId="41BE94B1">
      <w:pPr>
        <w:keepNext/>
        <w:ind w:firstLine="720"/>
        <w:jc w:val="center"/>
        <w:rPr>
          <w:b/>
          <w:i/>
          <w:szCs w:val="28"/>
          <w:lang w:val="ru-RU"/>
        </w:rPr>
      </w:pPr>
      <w:bookmarkStart w:id="19" w:name="_Toc196298119"/>
      <w:r>
        <w:rPr>
          <w:b/>
          <w:i/>
          <w:szCs w:val="28"/>
          <w:lang w:val="ru-RU"/>
        </w:rPr>
        <w:t>Аварии на коммунальных системах жизнеобеспечения</w:t>
      </w:r>
      <w:bookmarkEnd w:id="19"/>
    </w:p>
    <w:p w14:paraId="21086F60">
      <w:pPr>
        <w:spacing w:line="276" w:lineRule="auto"/>
        <w:contextualSpacing/>
        <w:jc w:val="both"/>
        <w:rPr>
          <w:sz w:val="28"/>
          <w:szCs w:val="28"/>
          <w:lang w:val="ru-RU"/>
        </w:rPr>
      </w:pPr>
      <w:r>
        <w:rPr>
          <w:sz w:val="28"/>
          <w:szCs w:val="28"/>
          <w:lang w:val="ru-RU"/>
        </w:rPr>
        <w:t>ЧС на территории села Сухарево могут возникнуть на линиях электросвязи.</w:t>
      </w:r>
    </w:p>
    <w:p w14:paraId="23AF4AB7">
      <w:pPr>
        <w:spacing w:line="276" w:lineRule="auto"/>
        <w:contextualSpacing/>
        <w:jc w:val="both"/>
        <w:rPr>
          <w:sz w:val="28"/>
          <w:szCs w:val="28"/>
          <w:lang w:val="ru-RU"/>
        </w:rPr>
      </w:pPr>
      <w:r>
        <w:rPr>
          <w:sz w:val="28"/>
          <w:szCs w:val="28"/>
          <w:lang w:val="ru-RU"/>
        </w:rPr>
        <w:t xml:space="preserve">ЧС возможны по причине: </w:t>
      </w:r>
    </w:p>
    <w:p w14:paraId="5D477AE1">
      <w:pPr>
        <w:pStyle w:val="50"/>
        <w:widowControl/>
        <w:numPr>
          <w:ilvl w:val="0"/>
          <w:numId w:val="9"/>
        </w:numPr>
        <w:autoSpaceDE/>
        <w:autoSpaceDN/>
        <w:spacing w:after="200" w:line="276" w:lineRule="auto"/>
        <w:contextualSpacing/>
        <w:jc w:val="both"/>
        <w:rPr>
          <w:sz w:val="28"/>
          <w:szCs w:val="28"/>
          <w:lang w:val="ru-RU"/>
        </w:rPr>
      </w:pPr>
      <w:r>
        <w:rPr>
          <w:sz w:val="28"/>
          <w:szCs w:val="28"/>
          <w:lang w:val="ru-RU"/>
        </w:rPr>
        <w:t>износа и ветхости линий электросвязи;</w:t>
      </w:r>
    </w:p>
    <w:p w14:paraId="34A358E2">
      <w:pPr>
        <w:pStyle w:val="50"/>
        <w:widowControl/>
        <w:numPr>
          <w:ilvl w:val="0"/>
          <w:numId w:val="9"/>
        </w:numPr>
        <w:autoSpaceDE/>
        <w:autoSpaceDN/>
        <w:spacing w:after="200" w:line="276" w:lineRule="auto"/>
        <w:contextualSpacing/>
        <w:jc w:val="both"/>
        <w:rPr>
          <w:sz w:val="28"/>
          <w:szCs w:val="28"/>
          <w:lang w:val="ru-RU"/>
        </w:rPr>
      </w:pPr>
      <w:r>
        <w:rPr>
          <w:sz w:val="28"/>
          <w:szCs w:val="28"/>
          <w:lang w:val="ru-RU"/>
        </w:rPr>
        <w:t>халатности персонала, обслуживающего линий электросвязи;</w:t>
      </w:r>
    </w:p>
    <w:p w14:paraId="72EFC2C1">
      <w:pPr>
        <w:pStyle w:val="50"/>
        <w:widowControl/>
        <w:numPr>
          <w:ilvl w:val="0"/>
          <w:numId w:val="9"/>
        </w:numPr>
        <w:autoSpaceDE/>
        <w:autoSpaceDN/>
        <w:spacing w:after="200" w:line="276" w:lineRule="auto"/>
        <w:contextualSpacing/>
        <w:jc w:val="both"/>
        <w:rPr>
          <w:sz w:val="28"/>
          <w:szCs w:val="28"/>
        </w:rPr>
      </w:pPr>
      <w:r>
        <w:rPr>
          <w:sz w:val="28"/>
          <w:szCs w:val="28"/>
        </w:rPr>
        <w:t>низкого качества ремонтных работ.</w:t>
      </w:r>
    </w:p>
    <w:p w14:paraId="46DFC137">
      <w:pPr>
        <w:spacing w:line="276" w:lineRule="auto"/>
        <w:ind w:firstLine="567"/>
        <w:contextualSpacing/>
        <w:jc w:val="both"/>
        <w:rPr>
          <w:sz w:val="28"/>
          <w:szCs w:val="28"/>
          <w:lang w:val="ru-RU"/>
        </w:rPr>
      </w:pPr>
      <w:r>
        <w:rPr>
          <w:sz w:val="28"/>
          <w:szCs w:val="28"/>
          <w:lang w:val="ru-RU"/>
        </w:rPr>
        <w:t>Выход из линий электросвязи может привести к сбою в системе связи, что значительно ухудшает условия жизнедеятельности населения.</w:t>
      </w:r>
    </w:p>
    <w:p w14:paraId="4C1EF9F3">
      <w:pPr>
        <w:tabs>
          <w:tab w:val="left" w:pos="1515"/>
        </w:tabs>
        <w:spacing w:line="276" w:lineRule="auto"/>
        <w:ind w:firstLine="567"/>
        <w:contextualSpacing/>
        <w:jc w:val="both"/>
        <w:rPr>
          <w:sz w:val="28"/>
          <w:szCs w:val="28"/>
          <w:lang w:val="ru-RU"/>
        </w:rPr>
      </w:pPr>
    </w:p>
    <w:p w14:paraId="08C39917">
      <w:pPr>
        <w:keepNext/>
        <w:ind w:firstLine="720"/>
        <w:jc w:val="center"/>
        <w:rPr>
          <w:b/>
          <w:i/>
          <w:szCs w:val="28"/>
          <w:lang w:val="ru-RU"/>
        </w:rPr>
      </w:pPr>
      <w:r>
        <w:rPr>
          <w:b/>
          <w:i/>
          <w:szCs w:val="28"/>
          <w:lang w:val="ru-RU"/>
        </w:rPr>
        <w:t>Аварии на автомобильном, железнодорожном и воздушном транспорте</w:t>
      </w:r>
    </w:p>
    <w:p w14:paraId="21822090">
      <w:pPr>
        <w:keepNext/>
        <w:ind w:firstLine="720"/>
        <w:jc w:val="center"/>
        <w:rPr>
          <w:b/>
          <w:i/>
          <w:szCs w:val="28"/>
          <w:lang w:val="ru-RU"/>
        </w:rPr>
      </w:pPr>
    </w:p>
    <w:p w14:paraId="4AB674C4">
      <w:pPr>
        <w:keepNext/>
        <w:ind w:firstLine="720"/>
        <w:jc w:val="center"/>
        <w:rPr>
          <w:b/>
          <w:i/>
          <w:szCs w:val="28"/>
          <w:lang w:val="ru-RU"/>
        </w:rPr>
      </w:pPr>
      <w:r>
        <w:rPr>
          <w:b/>
          <w:i/>
          <w:szCs w:val="28"/>
          <w:lang w:val="ru-RU"/>
        </w:rPr>
        <w:t>Аварии на автомобильном транспорте</w:t>
      </w:r>
    </w:p>
    <w:p w14:paraId="311630EC">
      <w:pPr>
        <w:spacing w:line="276" w:lineRule="auto"/>
        <w:ind w:firstLine="567"/>
        <w:contextualSpacing/>
        <w:jc w:val="both"/>
        <w:rPr>
          <w:sz w:val="28"/>
          <w:szCs w:val="28"/>
          <w:lang w:val="ru-RU"/>
        </w:rPr>
      </w:pPr>
      <w:r>
        <w:rPr>
          <w:sz w:val="28"/>
          <w:szCs w:val="28"/>
          <w:lang w:val="ru-RU"/>
        </w:rPr>
        <w:t>Основными причинами возникновения аварий на автомобильных дорогах являются: нарушение правил дорожного движения, неисправность транспортных средств, неудовлетворительное техническое состояние автомобильных дорог.</w:t>
      </w:r>
    </w:p>
    <w:p w14:paraId="5849B51D">
      <w:pPr>
        <w:spacing w:line="276" w:lineRule="auto"/>
        <w:ind w:firstLine="567"/>
        <w:contextualSpacing/>
        <w:jc w:val="both"/>
        <w:rPr>
          <w:sz w:val="28"/>
          <w:szCs w:val="28"/>
          <w:lang w:val="ru-RU"/>
        </w:rPr>
      </w:pPr>
      <w:r>
        <w:rPr>
          <w:sz w:val="28"/>
          <w:szCs w:val="28"/>
          <w:lang w:val="ru-RU"/>
        </w:rPr>
        <w:t>К серьезным дорожно-транспортным происшествиям (далее – ДТП) может привести несоблюдение при перевозке опасных грузов необходимых требований безопасности. Данные аварии часто сопровождаются разливом на грунт и в водоемы опасных веществ (химических, пожароопасных).</w:t>
      </w:r>
    </w:p>
    <w:p w14:paraId="2EA1F6FA">
      <w:pPr>
        <w:spacing w:line="276" w:lineRule="auto"/>
        <w:ind w:firstLine="567"/>
        <w:contextualSpacing/>
        <w:jc w:val="both"/>
        <w:rPr>
          <w:sz w:val="28"/>
          <w:szCs w:val="28"/>
          <w:lang w:val="ru-RU"/>
        </w:rPr>
      </w:pPr>
      <w:r>
        <w:rPr>
          <w:sz w:val="28"/>
          <w:szCs w:val="28"/>
          <w:lang w:val="ru-RU"/>
        </w:rPr>
        <w:t>Опасные грузы – это вещества, которые несут потенциальный вред для здоровья человека или природы, разрушают органические вещества при соприкосновении с ними. Перевозка опасных грузов жестко регламентируется законами, так как подобные ДТП приносят колоссальный вред окружающему миру.</w:t>
      </w:r>
    </w:p>
    <w:p w14:paraId="1747108A">
      <w:pPr>
        <w:spacing w:line="276" w:lineRule="auto"/>
        <w:ind w:firstLine="567"/>
        <w:contextualSpacing/>
        <w:jc w:val="both"/>
        <w:rPr>
          <w:sz w:val="28"/>
          <w:szCs w:val="28"/>
          <w:lang w:val="ru-RU"/>
        </w:rPr>
      </w:pPr>
      <w:r>
        <w:rPr>
          <w:sz w:val="28"/>
          <w:szCs w:val="28"/>
          <w:lang w:val="ru-RU"/>
        </w:rPr>
        <w:t>Через село не проходит основной грузопоток грузов, перевозимых автомобильным транспортом.</w:t>
      </w:r>
    </w:p>
    <w:p w14:paraId="3497EB5F">
      <w:pPr>
        <w:spacing w:line="276" w:lineRule="auto"/>
        <w:ind w:firstLine="567"/>
        <w:contextualSpacing/>
        <w:jc w:val="both"/>
        <w:rPr>
          <w:sz w:val="28"/>
          <w:szCs w:val="28"/>
          <w:lang w:val="ru-RU"/>
        </w:rPr>
      </w:pPr>
      <w:r>
        <w:rPr>
          <w:sz w:val="28"/>
          <w:szCs w:val="28"/>
          <w:lang w:val="ru-RU"/>
        </w:rPr>
        <w:t xml:space="preserve">Протяженность автодороги общего пользования с твердым покрытием по селу Сухарево составляет </w:t>
      </w:r>
      <w:r>
        <w:rPr>
          <w:sz w:val="28"/>
          <w:szCs w:val="28"/>
          <w:lang w:val="ru-RU" w:eastAsia="ru-RU"/>
        </w:rPr>
        <w:t xml:space="preserve">5,738 </w:t>
      </w:r>
      <w:r>
        <w:rPr>
          <w:sz w:val="28"/>
          <w:szCs w:val="28"/>
          <w:lang w:val="ru-RU"/>
        </w:rPr>
        <w:t xml:space="preserve">км. </w:t>
      </w:r>
    </w:p>
    <w:p w14:paraId="52EC16B1">
      <w:pPr>
        <w:spacing w:line="276" w:lineRule="auto"/>
        <w:ind w:firstLine="567"/>
        <w:contextualSpacing/>
        <w:jc w:val="both"/>
        <w:rPr>
          <w:sz w:val="28"/>
          <w:szCs w:val="28"/>
          <w:lang w:val="ru-RU"/>
        </w:rPr>
      </w:pPr>
      <w:r>
        <w:rPr>
          <w:sz w:val="28"/>
          <w:szCs w:val="28"/>
          <w:lang w:val="ru-RU"/>
        </w:rPr>
        <w:t>На автомобильных дорогах возможны чрезвычайные ситуации в результате нарушения правил дорожного движения водителями транспортных средств.</w:t>
      </w:r>
    </w:p>
    <w:p w14:paraId="6B621E33">
      <w:pPr>
        <w:keepNext/>
        <w:ind w:firstLine="720"/>
        <w:jc w:val="center"/>
        <w:rPr>
          <w:b/>
          <w:i/>
          <w:szCs w:val="28"/>
          <w:lang w:val="ru-RU"/>
        </w:rPr>
      </w:pPr>
    </w:p>
    <w:p w14:paraId="466DB207">
      <w:pPr>
        <w:keepNext/>
        <w:ind w:firstLine="720"/>
        <w:jc w:val="center"/>
        <w:rPr>
          <w:b/>
          <w:i/>
          <w:szCs w:val="28"/>
          <w:lang w:val="ru-RU"/>
        </w:rPr>
      </w:pPr>
      <w:r>
        <w:rPr>
          <w:b/>
          <w:i/>
          <w:szCs w:val="28"/>
          <w:lang w:val="ru-RU"/>
        </w:rPr>
        <w:t>Аварии на железнодорожном транспорте</w:t>
      </w:r>
    </w:p>
    <w:p w14:paraId="4C2F7495">
      <w:pPr>
        <w:spacing w:line="276" w:lineRule="auto"/>
        <w:ind w:firstLine="567"/>
        <w:contextualSpacing/>
        <w:jc w:val="both"/>
        <w:rPr>
          <w:sz w:val="28"/>
          <w:szCs w:val="28"/>
          <w:lang w:val="ru-RU"/>
        </w:rPr>
      </w:pPr>
      <w:r>
        <w:rPr>
          <w:sz w:val="28"/>
          <w:szCs w:val="28"/>
          <w:lang w:val="ru-RU"/>
        </w:rPr>
        <w:t>По железной дороге на территории Белгородской области перевозятся несколько тысяч наименований опасных грузов всех классов опасности. Практически все станции выполняют работу с опасными грузами, обеспечивая подвоз и вывоз грузов для предприятий, использующих в своем производстве или производящим опасные грузы.</w:t>
      </w:r>
    </w:p>
    <w:p w14:paraId="18E9C992">
      <w:pPr>
        <w:spacing w:line="276" w:lineRule="auto"/>
        <w:ind w:firstLine="567"/>
        <w:contextualSpacing/>
        <w:jc w:val="both"/>
        <w:rPr>
          <w:sz w:val="28"/>
          <w:szCs w:val="28"/>
          <w:lang w:val="ru-RU"/>
        </w:rPr>
      </w:pPr>
      <w:r>
        <w:rPr>
          <w:sz w:val="28"/>
          <w:szCs w:val="28"/>
          <w:lang w:val="ru-RU"/>
        </w:rPr>
        <w:t>Основными причинами аварий и катастроф на железнодорожном транспорте могут стать: неисправности путей подвижного состава, средств сигнализации и блокировки, ошибки диспетчеров, невнимательность и халатность машинистов.</w:t>
      </w:r>
    </w:p>
    <w:p w14:paraId="1CB54337">
      <w:pPr>
        <w:spacing w:line="276" w:lineRule="auto"/>
        <w:ind w:firstLine="567"/>
        <w:contextualSpacing/>
        <w:jc w:val="both"/>
        <w:rPr>
          <w:sz w:val="28"/>
          <w:szCs w:val="28"/>
          <w:lang w:val="ru-RU"/>
        </w:rPr>
      </w:pPr>
      <w:r>
        <w:rPr>
          <w:sz w:val="28"/>
          <w:szCs w:val="28"/>
          <w:lang w:val="ru-RU"/>
        </w:rPr>
        <w:t>Чаще всего при авариях происходит сход подвижного состава с рельсов, столкновения, наезды на препятствия на переездах, пожары и взрывы непосредственно в вагонах.</w:t>
      </w:r>
    </w:p>
    <w:p w14:paraId="29A9DA8C">
      <w:pPr>
        <w:spacing w:line="276" w:lineRule="auto"/>
        <w:ind w:firstLine="567"/>
        <w:contextualSpacing/>
        <w:jc w:val="both"/>
        <w:rPr>
          <w:sz w:val="28"/>
          <w:szCs w:val="28"/>
          <w:lang w:val="ru-RU"/>
        </w:rPr>
      </w:pPr>
      <w:r>
        <w:rPr>
          <w:sz w:val="28"/>
          <w:szCs w:val="28"/>
          <w:lang w:val="ru-RU"/>
        </w:rPr>
        <w:t xml:space="preserve">Аварии железнодорожного транспорта, осуществляющего перевозку опасных грузов, могут приводить к пожарам, взрывам, химическому и биологическому заражению, радиоактивному загрязнению. Характерной особенностью этих чрезвычайных ситуаций являются значительные размеры и высокая скорость формирования очага поражения. </w:t>
      </w:r>
    </w:p>
    <w:p w14:paraId="6C5F63BA">
      <w:pPr>
        <w:spacing w:line="276" w:lineRule="auto"/>
        <w:ind w:firstLine="567"/>
        <w:contextualSpacing/>
        <w:jc w:val="both"/>
        <w:rPr>
          <w:sz w:val="28"/>
          <w:szCs w:val="28"/>
          <w:lang w:val="ru-RU"/>
        </w:rPr>
      </w:pPr>
      <w:r>
        <w:rPr>
          <w:sz w:val="28"/>
          <w:szCs w:val="28"/>
          <w:lang w:val="ru-RU"/>
        </w:rPr>
        <w:t>Мероприятия по спасению пострадавших в таких чрезвычайных ситуациях определяются характером поражения людей, размером повреждения технических средств, наличием вторичных поражающих факторов.</w:t>
      </w:r>
    </w:p>
    <w:p w14:paraId="7BBEC9AD">
      <w:pPr>
        <w:spacing w:line="276" w:lineRule="auto"/>
        <w:ind w:firstLine="567"/>
        <w:contextualSpacing/>
        <w:jc w:val="both"/>
        <w:rPr>
          <w:sz w:val="28"/>
          <w:szCs w:val="28"/>
          <w:lang w:val="ru-RU"/>
        </w:rPr>
      </w:pPr>
      <w:r>
        <w:rPr>
          <w:sz w:val="28"/>
          <w:szCs w:val="28"/>
          <w:lang w:val="ru-RU"/>
        </w:rPr>
        <w:t>На территории села Сухарево отсутствуют железнодорожные пути.</w:t>
      </w:r>
    </w:p>
    <w:p w14:paraId="429E4AF2">
      <w:pPr>
        <w:spacing w:line="276" w:lineRule="auto"/>
        <w:ind w:firstLine="567"/>
        <w:contextualSpacing/>
        <w:jc w:val="both"/>
        <w:rPr>
          <w:sz w:val="28"/>
          <w:szCs w:val="28"/>
          <w:lang w:val="ru-RU"/>
        </w:rPr>
      </w:pPr>
    </w:p>
    <w:p w14:paraId="26BBD52E">
      <w:pPr>
        <w:keepNext/>
        <w:ind w:firstLine="720"/>
        <w:jc w:val="center"/>
        <w:rPr>
          <w:b/>
          <w:i/>
          <w:szCs w:val="28"/>
          <w:lang w:val="ru-RU"/>
        </w:rPr>
      </w:pPr>
      <w:r>
        <w:rPr>
          <w:b/>
          <w:i/>
          <w:szCs w:val="28"/>
          <w:lang w:val="ru-RU"/>
        </w:rPr>
        <w:t>Аварии на воздушном транспорте</w:t>
      </w:r>
    </w:p>
    <w:p w14:paraId="0B78EC1C">
      <w:pPr>
        <w:spacing w:line="276" w:lineRule="auto"/>
        <w:ind w:firstLine="567"/>
        <w:contextualSpacing/>
        <w:jc w:val="both"/>
        <w:rPr>
          <w:sz w:val="28"/>
          <w:szCs w:val="28"/>
          <w:lang w:val="ru-RU"/>
        </w:rPr>
      </w:pPr>
      <w:r>
        <w:rPr>
          <w:sz w:val="28"/>
          <w:szCs w:val="28"/>
          <w:lang w:val="ru-RU"/>
        </w:rPr>
        <w:t xml:space="preserve">В села Сухарево отсутствуют аэродромы и вертолетные площадки. </w:t>
      </w:r>
    </w:p>
    <w:p w14:paraId="4C415BE2">
      <w:pPr>
        <w:spacing w:line="276" w:lineRule="auto"/>
        <w:ind w:firstLine="567"/>
        <w:contextualSpacing/>
        <w:jc w:val="both"/>
        <w:rPr>
          <w:sz w:val="28"/>
          <w:szCs w:val="28"/>
          <w:lang w:val="ru-RU"/>
        </w:rPr>
      </w:pPr>
      <w:r>
        <w:rPr>
          <w:sz w:val="28"/>
          <w:szCs w:val="28"/>
          <w:lang w:val="ru-RU"/>
        </w:rPr>
        <w:t xml:space="preserve">В Валуйском муниципальном округе находится аэропорт. Он расположен на северной окраине города Валуйки. Московский центр АУВО АОВОРГУП «Госкорпорация по ОР ВО» – опорный пункт «Валуйки» осуществляют контроль 1/3 области за воздушными потоками. </w:t>
      </w:r>
    </w:p>
    <w:p w14:paraId="710351F2">
      <w:pPr>
        <w:spacing w:line="276" w:lineRule="auto"/>
        <w:ind w:firstLine="567"/>
        <w:contextualSpacing/>
        <w:jc w:val="both"/>
        <w:rPr>
          <w:sz w:val="28"/>
          <w:szCs w:val="28"/>
          <w:lang w:val="ru-RU"/>
        </w:rPr>
      </w:pPr>
      <w:r>
        <w:rPr>
          <w:sz w:val="28"/>
          <w:szCs w:val="28"/>
          <w:lang w:val="ru-RU"/>
        </w:rPr>
        <w:t>Опасность воздушного транспорта может возникнуть в результате неисправности систем и обледенения поверхности летательных аппаратов, а также немаловажен человеческий фактор (согласно статистики аварийности на воздушных судах наиболее вероятное возникновение аварии происходит при выполнении операции взлёта и посадки), что в свою очередь приводит к крушению летательных аппаратов. Аварии на воздушном транспорте приводят к человеческим жертвам и материальным потерям, а размер потерь зависит от типа воздушного транспорта и количества посадочных мест.</w:t>
      </w:r>
    </w:p>
    <w:p w14:paraId="6287DBE3">
      <w:pPr>
        <w:keepNext/>
        <w:ind w:firstLine="720"/>
        <w:jc w:val="center"/>
        <w:rPr>
          <w:b/>
          <w:i/>
          <w:szCs w:val="28"/>
          <w:lang w:val="ru-RU"/>
        </w:rPr>
      </w:pPr>
      <w:bookmarkStart w:id="20" w:name="_Toc151537245"/>
      <w:r>
        <w:rPr>
          <w:b/>
          <w:i/>
          <w:szCs w:val="28"/>
          <w:lang w:val="ru-RU"/>
        </w:rPr>
        <w:t>Радиационная обстановка</w:t>
      </w:r>
      <w:bookmarkEnd w:id="20"/>
    </w:p>
    <w:p w14:paraId="477F8745">
      <w:pPr>
        <w:spacing w:line="276" w:lineRule="auto"/>
        <w:ind w:firstLine="567"/>
        <w:contextualSpacing/>
        <w:jc w:val="both"/>
        <w:rPr>
          <w:sz w:val="28"/>
          <w:szCs w:val="28"/>
          <w:lang w:val="ru-RU"/>
        </w:rPr>
      </w:pPr>
      <w:r>
        <w:rPr>
          <w:sz w:val="28"/>
          <w:szCs w:val="28"/>
          <w:lang w:val="ru-RU"/>
        </w:rPr>
        <w:t>В Белгородской области объектов атомной энергетики нет. Радиационное загрязнение местности возможно в случае аварии на АЭС в Курской и Воронежской областях.</w:t>
      </w:r>
    </w:p>
    <w:p w14:paraId="68F9A0D9">
      <w:pPr>
        <w:spacing w:line="276" w:lineRule="auto"/>
        <w:ind w:firstLine="567"/>
        <w:contextualSpacing/>
        <w:jc w:val="both"/>
        <w:rPr>
          <w:sz w:val="28"/>
          <w:szCs w:val="28"/>
          <w:lang w:val="ru-RU"/>
        </w:rPr>
      </w:pPr>
      <w:r>
        <w:rPr>
          <w:sz w:val="28"/>
          <w:szCs w:val="28"/>
          <w:lang w:val="ru-RU"/>
        </w:rPr>
        <w:t>Общая площадь зон радиоактивного загрязнения может составить 17529 кв. км. На данной территории окажется 919 населенных пунктов с населением 745,6 тыс. человек.</w:t>
      </w:r>
    </w:p>
    <w:p w14:paraId="642C5137">
      <w:pPr>
        <w:spacing w:line="276" w:lineRule="auto"/>
        <w:ind w:firstLine="567"/>
        <w:contextualSpacing/>
        <w:jc w:val="both"/>
        <w:rPr>
          <w:sz w:val="28"/>
          <w:szCs w:val="28"/>
          <w:lang w:val="ru-RU"/>
        </w:rPr>
      </w:pPr>
      <w:r>
        <w:rPr>
          <w:sz w:val="28"/>
          <w:szCs w:val="28"/>
          <w:lang w:val="ru-RU"/>
        </w:rPr>
        <w:t>В селе Сухарево нет радиоактивных источников и радиоактивных веществ, представляющих опасность. Радиационный фон окружающей среды постоянно контролируется специалистами ветлаборатории и метеостанции. Радиационный фон в 2024 году не превышал допустимых норм.</w:t>
      </w:r>
    </w:p>
    <w:p w14:paraId="01884D16">
      <w:pPr>
        <w:pStyle w:val="3"/>
        <w:numPr>
          <w:ilvl w:val="1"/>
          <w:numId w:val="6"/>
        </w:numPr>
        <w:shd w:val="clear" w:color="auto" w:fill="FFFFFF"/>
        <w:spacing w:before="240" w:after="240" w:line="317" w:lineRule="exact"/>
        <w:ind w:left="0" w:firstLine="284"/>
        <w:jc w:val="center"/>
        <w:rPr>
          <w:rFonts w:ascii="Times New Roman" w:hAnsi="Times New Roman"/>
          <w:color w:val="auto"/>
          <w:sz w:val="28"/>
          <w:lang w:val="ru-RU"/>
        </w:rPr>
      </w:pPr>
      <w:r>
        <w:rPr>
          <w:rFonts w:ascii="Times New Roman" w:hAnsi="Times New Roman"/>
          <w:color w:val="auto"/>
          <w:sz w:val="28"/>
          <w:lang w:val="ru-RU"/>
        </w:rPr>
        <w:t>Перечень возможных источников ЧС природного характера, которые могут оказывать воздействие на проектируемую территорию</w:t>
      </w:r>
    </w:p>
    <w:p w14:paraId="2EF99045">
      <w:pPr>
        <w:pStyle w:val="21"/>
        <w:keepNext/>
        <w:spacing w:after="0"/>
        <w:jc w:val="center"/>
        <w:rPr>
          <w:iCs w:val="0"/>
          <w:sz w:val="28"/>
          <w:szCs w:val="22"/>
          <w:lang w:eastAsia="ru-RU"/>
        </w:rPr>
      </w:pPr>
      <w:r>
        <w:rPr>
          <w:iCs w:val="0"/>
          <w:sz w:val="28"/>
          <w:szCs w:val="22"/>
          <w:lang w:eastAsia="ru-RU"/>
        </w:rPr>
        <w:t>Перечень источников чрезвычайных ситуаций природного характера</w:t>
      </w:r>
    </w:p>
    <w:tbl>
      <w:tblPr>
        <w:tblStyle w:val="11"/>
        <w:tblW w:w="9940" w:type="dxa"/>
        <w:jc w:val="center"/>
        <w:tblLayout w:type="fixed"/>
        <w:tblCellMar>
          <w:top w:w="0" w:type="dxa"/>
          <w:left w:w="108" w:type="dxa"/>
          <w:bottom w:w="0" w:type="dxa"/>
          <w:right w:w="108" w:type="dxa"/>
        </w:tblCellMar>
      </w:tblPr>
      <w:tblGrid>
        <w:gridCol w:w="808"/>
        <w:gridCol w:w="2410"/>
        <w:gridCol w:w="2409"/>
        <w:gridCol w:w="4313"/>
      </w:tblGrid>
      <w:tr w14:paraId="7FC0093D">
        <w:tblPrEx>
          <w:tblCellMar>
            <w:top w:w="0" w:type="dxa"/>
            <w:left w:w="108" w:type="dxa"/>
            <w:bottom w:w="0" w:type="dxa"/>
            <w:right w:w="108" w:type="dxa"/>
          </w:tblCellMar>
        </w:tblPrEx>
        <w:trPr>
          <w:cantSplit/>
          <w:trHeight w:val="20" w:hRule="atLeast"/>
          <w:tblHeader/>
          <w:jc w:val="center"/>
        </w:trPr>
        <w:tc>
          <w:tcPr>
            <w:tcW w:w="808" w:type="dxa"/>
            <w:tcBorders>
              <w:top w:val="single" w:color="000000" w:sz="4" w:space="0"/>
              <w:left w:val="single" w:color="000000" w:sz="4" w:space="0"/>
              <w:bottom w:val="single" w:color="000000" w:sz="4" w:space="0"/>
            </w:tcBorders>
            <w:shd w:val="clear" w:color="auto" w:fill="F1F1F1" w:themeFill="background1" w:themeFillShade="F2"/>
            <w:vAlign w:val="center"/>
          </w:tcPr>
          <w:p w14:paraId="645ABAAF">
            <w:pPr>
              <w:pStyle w:val="73"/>
              <w:spacing w:line="240" w:lineRule="auto"/>
              <w:ind w:firstLine="0"/>
              <w:jc w:val="center"/>
              <w:rPr>
                <w:rFonts w:ascii="Times New Roman" w:hAnsi="Times New Roman"/>
                <w:b/>
                <w:sz w:val="22"/>
                <w:szCs w:val="22"/>
              </w:rPr>
            </w:pPr>
            <w:r>
              <w:rPr>
                <w:rFonts w:ascii="Times New Roman" w:hAnsi="Times New Roman"/>
                <w:b/>
                <w:sz w:val="22"/>
                <w:szCs w:val="22"/>
              </w:rPr>
              <w:t>№ п/п</w:t>
            </w:r>
          </w:p>
        </w:tc>
        <w:tc>
          <w:tcPr>
            <w:tcW w:w="2410" w:type="dxa"/>
            <w:tcBorders>
              <w:top w:val="single" w:color="000000" w:sz="4" w:space="0"/>
              <w:left w:val="single" w:color="000000" w:sz="4" w:space="0"/>
              <w:bottom w:val="single" w:color="000000" w:sz="4" w:space="0"/>
            </w:tcBorders>
            <w:shd w:val="clear" w:color="auto" w:fill="F1F1F1" w:themeFill="background1" w:themeFillShade="F2"/>
            <w:vAlign w:val="center"/>
          </w:tcPr>
          <w:p w14:paraId="5206F4F5">
            <w:pPr>
              <w:pStyle w:val="73"/>
              <w:spacing w:line="240" w:lineRule="auto"/>
              <w:ind w:firstLine="0"/>
              <w:jc w:val="center"/>
              <w:rPr>
                <w:rFonts w:ascii="Times New Roman" w:hAnsi="Times New Roman"/>
                <w:b/>
                <w:sz w:val="22"/>
                <w:szCs w:val="22"/>
              </w:rPr>
            </w:pPr>
            <w:r>
              <w:rPr>
                <w:rFonts w:ascii="Times New Roman" w:hAnsi="Times New Roman"/>
                <w:b/>
                <w:sz w:val="22"/>
                <w:szCs w:val="22"/>
              </w:rPr>
              <w:t>Источник природной ЧС</w:t>
            </w:r>
          </w:p>
        </w:tc>
        <w:tc>
          <w:tcPr>
            <w:tcW w:w="2409" w:type="dxa"/>
            <w:tcBorders>
              <w:top w:val="single" w:color="000000" w:sz="4" w:space="0"/>
              <w:left w:val="single" w:color="000000" w:sz="4" w:space="0"/>
              <w:bottom w:val="single" w:color="000000" w:sz="4" w:space="0"/>
            </w:tcBorders>
            <w:shd w:val="clear" w:color="auto" w:fill="F1F1F1" w:themeFill="background1" w:themeFillShade="F2"/>
            <w:vAlign w:val="center"/>
          </w:tcPr>
          <w:p w14:paraId="21900C98">
            <w:pPr>
              <w:pStyle w:val="73"/>
              <w:spacing w:line="240" w:lineRule="auto"/>
              <w:ind w:firstLine="0"/>
              <w:jc w:val="center"/>
              <w:rPr>
                <w:rFonts w:ascii="Times New Roman" w:hAnsi="Times New Roman"/>
                <w:b/>
                <w:sz w:val="22"/>
                <w:szCs w:val="22"/>
              </w:rPr>
            </w:pPr>
            <w:r>
              <w:rPr>
                <w:rFonts w:ascii="Times New Roman" w:hAnsi="Times New Roman"/>
                <w:b/>
                <w:sz w:val="22"/>
                <w:szCs w:val="22"/>
              </w:rPr>
              <w:t>Наименование поражающего фактора</w:t>
            </w:r>
          </w:p>
        </w:tc>
        <w:tc>
          <w:tcPr>
            <w:tcW w:w="4313" w:type="dxa"/>
            <w:tcBorders>
              <w:top w:val="single" w:color="000000" w:sz="4" w:space="0"/>
              <w:left w:val="single" w:color="000000" w:sz="4" w:space="0"/>
              <w:bottom w:val="single" w:color="000000" w:sz="4" w:space="0"/>
              <w:right w:val="single" w:color="000000" w:sz="4" w:space="0"/>
            </w:tcBorders>
            <w:shd w:val="clear" w:color="auto" w:fill="F1F1F1" w:themeFill="background1" w:themeFillShade="F2"/>
            <w:vAlign w:val="center"/>
          </w:tcPr>
          <w:p w14:paraId="5143D42F">
            <w:pPr>
              <w:pStyle w:val="73"/>
              <w:spacing w:line="240" w:lineRule="auto"/>
              <w:ind w:firstLine="0"/>
              <w:jc w:val="center"/>
              <w:rPr>
                <w:rFonts w:ascii="Times New Roman" w:hAnsi="Times New Roman"/>
                <w:b/>
                <w:sz w:val="22"/>
                <w:szCs w:val="22"/>
                <w:lang w:val="ru-RU"/>
              </w:rPr>
            </w:pPr>
            <w:r>
              <w:rPr>
                <w:rFonts w:ascii="Times New Roman" w:hAnsi="Times New Roman"/>
                <w:b/>
                <w:sz w:val="22"/>
                <w:szCs w:val="22"/>
                <w:lang w:val="ru-RU"/>
              </w:rPr>
              <w:t>Характер действия, проявления поражающего фактора источника природной ЧС</w:t>
            </w:r>
          </w:p>
        </w:tc>
      </w:tr>
      <w:tr w14:paraId="48C0AB3D">
        <w:tblPrEx>
          <w:tblCellMar>
            <w:top w:w="0" w:type="dxa"/>
            <w:left w:w="108" w:type="dxa"/>
            <w:bottom w:w="0" w:type="dxa"/>
            <w:right w:w="108" w:type="dxa"/>
          </w:tblCellMar>
        </w:tblPrEx>
        <w:trPr>
          <w:cantSplit/>
          <w:trHeight w:val="20" w:hRule="atLeast"/>
          <w:jc w:val="center"/>
        </w:trPr>
        <w:tc>
          <w:tcPr>
            <w:tcW w:w="9940" w:type="dxa"/>
            <w:gridSpan w:val="4"/>
            <w:tcBorders>
              <w:top w:val="single" w:color="000000" w:sz="4" w:space="0"/>
              <w:left w:val="single" w:color="000000" w:sz="4" w:space="0"/>
              <w:bottom w:val="single" w:color="000000" w:sz="4" w:space="0"/>
              <w:right w:val="single" w:color="000000" w:sz="4" w:space="0"/>
            </w:tcBorders>
            <w:vAlign w:val="center"/>
          </w:tcPr>
          <w:p w14:paraId="39F33DA5">
            <w:pPr>
              <w:pStyle w:val="187"/>
            </w:pPr>
            <w:r>
              <w:t>Опасные гидрологические явления и процессы</w:t>
            </w:r>
          </w:p>
        </w:tc>
      </w:tr>
      <w:tr w14:paraId="4D30C5B8">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right w:val="single" w:color="000000" w:sz="4" w:space="0"/>
            </w:tcBorders>
            <w:vAlign w:val="center"/>
          </w:tcPr>
          <w:p w14:paraId="06B9A9E8">
            <w:pPr>
              <w:pStyle w:val="189"/>
              <w:jc w:val="left"/>
              <w:rPr>
                <w:rFonts w:eastAsia="Calibri"/>
                <w:szCs w:val="24"/>
              </w:rPr>
            </w:pPr>
            <w:r>
              <w:rPr>
                <w:rFonts w:eastAsia="Calibri"/>
                <w:szCs w:val="24"/>
              </w:rPr>
              <w:t>1.1</w:t>
            </w:r>
          </w:p>
        </w:tc>
        <w:tc>
          <w:tcPr>
            <w:tcW w:w="2410" w:type="dxa"/>
            <w:tcBorders>
              <w:top w:val="single" w:color="000000" w:sz="4" w:space="0"/>
              <w:left w:val="single" w:color="000000" w:sz="4" w:space="0"/>
              <w:bottom w:val="single" w:color="000000" w:sz="4" w:space="0"/>
              <w:right w:val="single" w:color="000000" w:sz="4" w:space="0"/>
            </w:tcBorders>
            <w:vAlign w:val="center"/>
          </w:tcPr>
          <w:p w14:paraId="68491AD0">
            <w:pPr>
              <w:pStyle w:val="189"/>
              <w:jc w:val="left"/>
              <w:rPr>
                <w:szCs w:val="24"/>
              </w:rPr>
            </w:pPr>
            <w:r>
              <w:rPr>
                <w:szCs w:val="24"/>
              </w:rPr>
              <w:t>Подтопление</w:t>
            </w:r>
          </w:p>
        </w:tc>
        <w:tc>
          <w:tcPr>
            <w:tcW w:w="2409" w:type="dxa"/>
            <w:tcBorders>
              <w:top w:val="single" w:color="000000" w:sz="4" w:space="0"/>
              <w:left w:val="single" w:color="000000" w:sz="4" w:space="0"/>
              <w:bottom w:val="single" w:color="000000" w:sz="4" w:space="0"/>
              <w:right w:val="single" w:color="000000" w:sz="4" w:space="0"/>
            </w:tcBorders>
            <w:vAlign w:val="center"/>
          </w:tcPr>
          <w:p w14:paraId="0BCC64A7">
            <w:pPr>
              <w:pStyle w:val="189"/>
              <w:jc w:val="left"/>
              <w:rPr>
                <w:rFonts w:eastAsia="Calibri"/>
                <w:szCs w:val="24"/>
              </w:rPr>
            </w:pPr>
            <w:r>
              <w:rPr>
                <w:rFonts w:eastAsia="Calibri"/>
                <w:szCs w:val="24"/>
              </w:rPr>
              <w:t>Гидростатический</w:t>
            </w:r>
          </w:p>
          <w:p w14:paraId="064C17AF">
            <w:pPr>
              <w:pStyle w:val="189"/>
              <w:jc w:val="left"/>
              <w:rPr>
                <w:rFonts w:eastAsia="Calibri"/>
                <w:szCs w:val="24"/>
              </w:rPr>
            </w:pPr>
            <w:r>
              <w:rPr>
                <w:rFonts w:eastAsia="Calibri"/>
                <w:szCs w:val="24"/>
              </w:rPr>
              <w:t>Гидродинамический</w:t>
            </w:r>
          </w:p>
          <w:p w14:paraId="02E8EC30">
            <w:pPr>
              <w:pStyle w:val="189"/>
              <w:jc w:val="left"/>
              <w:rPr>
                <w:rFonts w:eastAsia="Calibri"/>
                <w:szCs w:val="24"/>
              </w:rPr>
            </w:pPr>
            <w:r>
              <w:rPr>
                <w:rFonts w:eastAsia="Calibri"/>
                <w:szCs w:val="24"/>
              </w:rPr>
              <w:t>Гидрохимический</w:t>
            </w:r>
          </w:p>
        </w:tc>
        <w:tc>
          <w:tcPr>
            <w:tcW w:w="4313" w:type="dxa"/>
            <w:tcBorders>
              <w:top w:val="single" w:color="000000" w:sz="4" w:space="0"/>
              <w:left w:val="single" w:color="000000" w:sz="4" w:space="0"/>
              <w:bottom w:val="single" w:color="000000" w:sz="4" w:space="0"/>
              <w:right w:val="single" w:color="000000" w:sz="4" w:space="0"/>
            </w:tcBorders>
            <w:vAlign w:val="center"/>
          </w:tcPr>
          <w:p w14:paraId="14EE6063">
            <w:pPr>
              <w:pStyle w:val="189"/>
              <w:jc w:val="left"/>
              <w:rPr>
                <w:rFonts w:eastAsia="Calibri"/>
                <w:szCs w:val="24"/>
              </w:rPr>
            </w:pPr>
            <w:r>
              <w:rPr>
                <w:rFonts w:eastAsia="Calibri"/>
                <w:szCs w:val="24"/>
              </w:rPr>
              <w:t>Повышение уровня грунтовых вод</w:t>
            </w:r>
          </w:p>
          <w:p w14:paraId="29D20FD8">
            <w:pPr>
              <w:pStyle w:val="189"/>
              <w:jc w:val="left"/>
              <w:rPr>
                <w:rFonts w:eastAsia="Calibri"/>
                <w:szCs w:val="24"/>
              </w:rPr>
            </w:pPr>
            <w:r>
              <w:rPr>
                <w:rFonts w:eastAsia="Calibri"/>
                <w:szCs w:val="24"/>
              </w:rPr>
              <w:t>Гидродинамическое давление потока грунтовых вод</w:t>
            </w:r>
          </w:p>
          <w:p w14:paraId="6A3915FD">
            <w:pPr>
              <w:pStyle w:val="189"/>
              <w:jc w:val="left"/>
              <w:rPr>
                <w:rFonts w:eastAsia="Calibri"/>
                <w:szCs w:val="24"/>
              </w:rPr>
            </w:pPr>
            <w:r>
              <w:rPr>
                <w:rFonts w:eastAsia="Calibri"/>
                <w:szCs w:val="24"/>
              </w:rPr>
              <w:t>Загрязнение (засоление) почв, грунтов</w:t>
            </w:r>
          </w:p>
          <w:p w14:paraId="6D7EFFF7">
            <w:pPr>
              <w:pStyle w:val="189"/>
              <w:jc w:val="left"/>
              <w:rPr>
                <w:rFonts w:eastAsia="Calibri"/>
                <w:szCs w:val="24"/>
              </w:rPr>
            </w:pPr>
            <w:r>
              <w:rPr>
                <w:rFonts w:eastAsia="Calibri"/>
                <w:szCs w:val="24"/>
              </w:rPr>
              <w:t>Коррозия подземных металлических конструкций</w:t>
            </w:r>
          </w:p>
        </w:tc>
      </w:tr>
      <w:tr w14:paraId="62AD8052">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right w:val="single" w:color="000000" w:sz="4" w:space="0"/>
            </w:tcBorders>
            <w:vAlign w:val="center"/>
          </w:tcPr>
          <w:p w14:paraId="151133FD">
            <w:pPr>
              <w:pStyle w:val="189"/>
              <w:jc w:val="left"/>
              <w:rPr>
                <w:rFonts w:eastAsia="Calibri"/>
                <w:szCs w:val="24"/>
              </w:rPr>
            </w:pPr>
            <w:r>
              <w:rPr>
                <w:rFonts w:eastAsia="Calibri"/>
                <w:szCs w:val="24"/>
              </w:rPr>
              <w:t>1.2</w:t>
            </w:r>
          </w:p>
        </w:tc>
        <w:tc>
          <w:tcPr>
            <w:tcW w:w="2410" w:type="dxa"/>
            <w:tcBorders>
              <w:top w:val="single" w:color="000000" w:sz="4" w:space="0"/>
              <w:left w:val="single" w:color="000000" w:sz="4" w:space="0"/>
              <w:bottom w:val="single" w:color="000000" w:sz="4" w:space="0"/>
              <w:right w:val="single" w:color="000000" w:sz="4" w:space="0"/>
            </w:tcBorders>
            <w:vAlign w:val="center"/>
          </w:tcPr>
          <w:p w14:paraId="7567E940">
            <w:pPr>
              <w:pStyle w:val="189"/>
              <w:jc w:val="left"/>
              <w:rPr>
                <w:szCs w:val="24"/>
              </w:rPr>
            </w:pPr>
            <w:r>
              <w:rPr>
                <w:szCs w:val="24"/>
              </w:rPr>
              <w:t>Наводнение</w:t>
            </w:r>
          </w:p>
          <w:p w14:paraId="7B6B08B6">
            <w:pPr>
              <w:pStyle w:val="189"/>
              <w:jc w:val="left"/>
              <w:rPr>
                <w:szCs w:val="24"/>
              </w:rPr>
            </w:pPr>
            <w:r>
              <w:rPr>
                <w:szCs w:val="24"/>
              </w:rPr>
              <w:t>Половодье</w:t>
            </w:r>
          </w:p>
          <w:p w14:paraId="7EAB0668">
            <w:pPr>
              <w:pStyle w:val="189"/>
              <w:jc w:val="left"/>
              <w:rPr>
                <w:szCs w:val="24"/>
              </w:rPr>
            </w:pPr>
            <w:r>
              <w:rPr>
                <w:szCs w:val="24"/>
              </w:rPr>
              <w:t>Паводок</w:t>
            </w:r>
          </w:p>
          <w:p w14:paraId="6100BEF9">
            <w:pPr>
              <w:pStyle w:val="189"/>
              <w:jc w:val="left"/>
              <w:rPr>
                <w:szCs w:val="24"/>
              </w:rPr>
            </w:pPr>
            <w:r>
              <w:rPr>
                <w:szCs w:val="24"/>
              </w:rPr>
              <w:t xml:space="preserve">Катастрофический паводок </w:t>
            </w:r>
          </w:p>
        </w:tc>
        <w:tc>
          <w:tcPr>
            <w:tcW w:w="2409" w:type="dxa"/>
            <w:tcBorders>
              <w:top w:val="single" w:color="000000" w:sz="4" w:space="0"/>
              <w:left w:val="single" w:color="000000" w:sz="4" w:space="0"/>
              <w:bottom w:val="single" w:color="000000" w:sz="4" w:space="0"/>
              <w:right w:val="single" w:color="000000" w:sz="4" w:space="0"/>
            </w:tcBorders>
            <w:vAlign w:val="center"/>
          </w:tcPr>
          <w:p w14:paraId="452D1913">
            <w:pPr>
              <w:pStyle w:val="189"/>
              <w:jc w:val="left"/>
              <w:rPr>
                <w:rFonts w:eastAsia="Calibri"/>
                <w:szCs w:val="24"/>
              </w:rPr>
            </w:pPr>
            <w:r>
              <w:rPr>
                <w:rFonts w:eastAsia="Calibri"/>
                <w:szCs w:val="24"/>
              </w:rPr>
              <w:t>Гидродинамический</w:t>
            </w:r>
          </w:p>
          <w:p w14:paraId="06C1B1D6">
            <w:pPr>
              <w:pStyle w:val="189"/>
              <w:jc w:val="left"/>
              <w:rPr>
                <w:rFonts w:eastAsia="Calibri"/>
                <w:szCs w:val="24"/>
              </w:rPr>
            </w:pPr>
            <w:r>
              <w:rPr>
                <w:rFonts w:eastAsia="Calibri"/>
                <w:szCs w:val="24"/>
              </w:rPr>
              <w:t>Гидрохимический</w:t>
            </w:r>
          </w:p>
        </w:tc>
        <w:tc>
          <w:tcPr>
            <w:tcW w:w="4313" w:type="dxa"/>
            <w:tcBorders>
              <w:top w:val="single" w:color="000000" w:sz="4" w:space="0"/>
              <w:left w:val="single" w:color="000000" w:sz="4" w:space="0"/>
              <w:bottom w:val="single" w:color="000000" w:sz="4" w:space="0"/>
              <w:right w:val="single" w:color="000000" w:sz="4" w:space="0"/>
            </w:tcBorders>
            <w:vAlign w:val="center"/>
          </w:tcPr>
          <w:p w14:paraId="6935E23E">
            <w:pPr>
              <w:pStyle w:val="189"/>
              <w:jc w:val="left"/>
              <w:rPr>
                <w:rFonts w:eastAsia="Calibri"/>
                <w:szCs w:val="24"/>
              </w:rPr>
            </w:pPr>
            <w:r>
              <w:rPr>
                <w:rFonts w:eastAsia="Calibri"/>
                <w:szCs w:val="24"/>
              </w:rPr>
              <w:t>Поток (течение) воды</w:t>
            </w:r>
          </w:p>
          <w:p w14:paraId="610C2F54">
            <w:pPr>
              <w:pStyle w:val="189"/>
              <w:jc w:val="left"/>
              <w:rPr>
                <w:rFonts w:eastAsia="Calibri"/>
                <w:szCs w:val="24"/>
              </w:rPr>
            </w:pPr>
            <w:r>
              <w:rPr>
                <w:rFonts w:eastAsia="Calibri"/>
                <w:szCs w:val="24"/>
              </w:rPr>
              <w:t>Загрязнение гидросферы, почв, грунтов</w:t>
            </w:r>
          </w:p>
        </w:tc>
      </w:tr>
      <w:tr w14:paraId="411A06AF">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right w:val="single" w:color="000000" w:sz="4" w:space="0"/>
            </w:tcBorders>
            <w:vAlign w:val="center"/>
          </w:tcPr>
          <w:p w14:paraId="0A90445B">
            <w:pPr>
              <w:pStyle w:val="189"/>
              <w:jc w:val="left"/>
              <w:rPr>
                <w:rFonts w:eastAsia="Calibri"/>
                <w:szCs w:val="24"/>
              </w:rPr>
            </w:pPr>
            <w:r>
              <w:rPr>
                <w:rFonts w:eastAsia="Calibri"/>
                <w:szCs w:val="24"/>
              </w:rPr>
              <w:t>1.3</w:t>
            </w:r>
          </w:p>
        </w:tc>
        <w:tc>
          <w:tcPr>
            <w:tcW w:w="2410" w:type="dxa"/>
            <w:tcBorders>
              <w:top w:val="single" w:color="000000" w:sz="4" w:space="0"/>
              <w:left w:val="single" w:color="000000" w:sz="4" w:space="0"/>
              <w:bottom w:val="single" w:color="000000" w:sz="4" w:space="0"/>
              <w:right w:val="single" w:color="000000" w:sz="4" w:space="0"/>
            </w:tcBorders>
            <w:vAlign w:val="center"/>
          </w:tcPr>
          <w:p w14:paraId="5C382B15">
            <w:pPr>
              <w:pStyle w:val="189"/>
              <w:jc w:val="left"/>
              <w:rPr>
                <w:szCs w:val="24"/>
              </w:rPr>
            </w:pPr>
            <w:r>
              <w:rPr>
                <w:szCs w:val="24"/>
              </w:rPr>
              <w:t>Русловая эрозия</w:t>
            </w:r>
          </w:p>
        </w:tc>
        <w:tc>
          <w:tcPr>
            <w:tcW w:w="2409" w:type="dxa"/>
            <w:tcBorders>
              <w:top w:val="single" w:color="000000" w:sz="4" w:space="0"/>
              <w:left w:val="single" w:color="000000" w:sz="4" w:space="0"/>
              <w:bottom w:val="single" w:color="000000" w:sz="4" w:space="0"/>
              <w:right w:val="single" w:color="000000" w:sz="4" w:space="0"/>
            </w:tcBorders>
            <w:vAlign w:val="center"/>
          </w:tcPr>
          <w:p w14:paraId="645612AF">
            <w:pPr>
              <w:pStyle w:val="189"/>
              <w:jc w:val="left"/>
              <w:rPr>
                <w:rFonts w:eastAsia="Calibri"/>
                <w:szCs w:val="24"/>
              </w:rPr>
            </w:pPr>
            <w:r>
              <w:rPr>
                <w:rFonts w:eastAsia="Calibri"/>
                <w:szCs w:val="24"/>
              </w:rPr>
              <w:t>Гидродинамический</w:t>
            </w:r>
          </w:p>
        </w:tc>
        <w:tc>
          <w:tcPr>
            <w:tcW w:w="4313" w:type="dxa"/>
            <w:tcBorders>
              <w:top w:val="single" w:color="000000" w:sz="4" w:space="0"/>
              <w:left w:val="single" w:color="000000" w:sz="4" w:space="0"/>
              <w:bottom w:val="single" w:color="000000" w:sz="4" w:space="0"/>
              <w:right w:val="single" w:color="000000" w:sz="4" w:space="0"/>
            </w:tcBorders>
            <w:vAlign w:val="center"/>
          </w:tcPr>
          <w:p w14:paraId="05D81D5D">
            <w:pPr>
              <w:pStyle w:val="189"/>
              <w:jc w:val="left"/>
              <w:rPr>
                <w:rFonts w:eastAsia="Calibri"/>
                <w:szCs w:val="24"/>
              </w:rPr>
            </w:pPr>
            <w:r>
              <w:rPr>
                <w:rFonts w:eastAsia="Calibri"/>
                <w:szCs w:val="24"/>
              </w:rPr>
              <w:t>Гидродинамическое давление потока воды</w:t>
            </w:r>
          </w:p>
          <w:p w14:paraId="13D0989D">
            <w:pPr>
              <w:pStyle w:val="189"/>
              <w:jc w:val="left"/>
              <w:rPr>
                <w:rFonts w:eastAsia="Calibri"/>
                <w:szCs w:val="24"/>
              </w:rPr>
            </w:pPr>
            <w:r>
              <w:rPr>
                <w:rFonts w:eastAsia="Calibri"/>
                <w:szCs w:val="24"/>
              </w:rPr>
              <w:t>Деформация речного русла</w:t>
            </w:r>
          </w:p>
        </w:tc>
      </w:tr>
      <w:tr w14:paraId="67F7A3D7">
        <w:tblPrEx>
          <w:tblCellMar>
            <w:top w:w="0" w:type="dxa"/>
            <w:left w:w="108" w:type="dxa"/>
            <w:bottom w:w="0" w:type="dxa"/>
            <w:right w:w="108" w:type="dxa"/>
          </w:tblCellMar>
        </w:tblPrEx>
        <w:trPr>
          <w:cantSplit/>
          <w:trHeight w:val="20" w:hRule="atLeast"/>
          <w:jc w:val="center"/>
        </w:trPr>
        <w:tc>
          <w:tcPr>
            <w:tcW w:w="9940" w:type="dxa"/>
            <w:gridSpan w:val="4"/>
            <w:tcBorders>
              <w:top w:val="single" w:color="000000" w:sz="4" w:space="0"/>
              <w:left w:val="single" w:color="000000" w:sz="4" w:space="0"/>
              <w:bottom w:val="single" w:color="000000" w:sz="4" w:space="0"/>
              <w:right w:val="single" w:color="000000" w:sz="4" w:space="0"/>
            </w:tcBorders>
            <w:vAlign w:val="center"/>
          </w:tcPr>
          <w:p w14:paraId="48575848">
            <w:pPr>
              <w:pStyle w:val="187"/>
            </w:pPr>
            <w:r>
              <w:t>Опасные метеорологические явления и процессы</w:t>
            </w:r>
          </w:p>
        </w:tc>
      </w:tr>
      <w:tr w14:paraId="3F52D5C1">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09DC4B9E">
            <w:pPr>
              <w:pStyle w:val="189"/>
              <w:jc w:val="left"/>
              <w:rPr>
                <w:rFonts w:eastAsia="Calibri"/>
                <w:szCs w:val="24"/>
              </w:rPr>
            </w:pPr>
            <w:r>
              <w:rPr>
                <w:rFonts w:eastAsia="Calibri"/>
                <w:szCs w:val="24"/>
              </w:rPr>
              <w:t>2.1</w:t>
            </w:r>
          </w:p>
        </w:tc>
        <w:tc>
          <w:tcPr>
            <w:tcW w:w="2410" w:type="dxa"/>
            <w:tcBorders>
              <w:top w:val="single" w:color="000000" w:sz="4" w:space="0"/>
              <w:left w:val="single" w:color="000000" w:sz="4" w:space="0"/>
              <w:bottom w:val="single" w:color="000000" w:sz="4" w:space="0"/>
            </w:tcBorders>
            <w:vAlign w:val="center"/>
          </w:tcPr>
          <w:p w14:paraId="50607079">
            <w:pPr>
              <w:pStyle w:val="189"/>
              <w:jc w:val="left"/>
              <w:rPr>
                <w:rFonts w:eastAsia="Calibri"/>
                <w:szCs w:val="24"/>
              </w:rPr>
            </w:pPr>
            <w:r>
              <w:rPr>
                <w:szCs w:val="24"/>
              </w:rPr>
              <w:t>Сильный ветер (шторм, шквал, ураган)</w:t>
            </w:r>
          </w:p>
        </w:tc>
        <w:tc>
          <w:tcPr>
            <w:tcW w:w="2409" w:type="dxa"/>
            <w:tcBorders>
              <w:top w:val="single" w:color="000000" w:sz="4" w:space="0"/>
              <w:left w:val="single" w:color="000000" w:sz="4" w:space="0"/>
              <w:bottom w:val="single" w:color="000000" w:sz="4" w:space="0"/>
            </w:tcBorders>
            <w:vAlign w:val="center"/>
          </w:tcPr>
          <w:p w14:paraId="65662A55">
            <w:pPr>
              <w:pStyle w:val="189"/>
              <w:jc w:val="left"/>
              <w:rPr>
                <w:rFonts w:eastAsia="Calibri"/>
                <w:szCs w:val="24"/>
              </w:rPr>
            </w:pPr>
            <w:r>
              <w:rPr>
                <w:rFonts w:eastAsia="Calibri"/>
                <w:szCs w:val="24"/>
              </w:rPr>
              <w:t>Аэродинамический</w:t>
            </w:r>
          </w:p>
        </w:tc>
        <w:tc>
          <w:tcPr>
            <w:tcW w:w="4313" w:type="dxa"/>
            <w:tcBorders>
              <w:top w:val="single" w:color="000000" w:sz="4" w:space="0"/>
              <w:left w:val="single" w:color="000000" w:sz="4" w:space="0"/>
              <w:bottom w:val="single" w:color="000000" w:sz="4" w:space="0"/>
              <w:right w:val="single" w:color="000000" w:sz="4" w:space="0"/>
            </w:tcBorders>
            <w:vAlign w:val="center"/>
          </w:tcPr>
          <w:p w14:paraId="7F204A86">
            <w:pPr>
              <w:pStyle w:val="189"/>
              <w:jc w:val="left"/>
              <w:rPr>
                <w:rFonts w:eastAsia="Calibri"/>
                <w:szCs w:val="24"/>
              </w:rPr>
            </w:pPr>
            <w:r>
              <w:rPr>
                <w:rFonts w:eastAsia="Calibri"/>
                <w:szCs w:val="24"/>
              </w:rPr>
              <w:t>Ветровой поток</w:t>
            </w:r>
          </w:p>
          <w:p w14:paraId="745B192A">
            <w:pPr>
              <w:pStyle w:val="189"/>
              <w:jc w:val="left"/>
              <w:rPr>
                <w:rFonts w:eastAsia="Calibri"/>
                <w:szCs w:val="24"/>
              </w:rPr>
            </w:pPr>
            <w:r>
              <w:rPr>
                <w:rFonts w:eastAsia="Calibri"/>
                <w:szCs w:val="24"/>
              </w:rPr>
              <w:t>Ветровая нагрузка</w:t>
            </w:r>
          </w:p>
          <w:p w14:paraId="72B9C7DB">
            <w:pPr>
              <w:pStyle w:val="189"/>
              <w:jc w:val="left"/>
              <w:rPr>
                <w:rFonts w:eastAsia="Calibri"/>
                <w:szCs w:val="24"/>
              </w:rPr>
            </w:pPr>
            <w:r>
              <w:rPr>
                <w:rFonts w:eastAsia="Calibri"/>
                <w:szCs w:val="24"/>
              </w:rPr>
              <w:t>Аэродинамическое давление Вибрация</w:t>
            </w:r>
          </w:p>
        </w:tc>
      </w:tr>
      <w:tr w14:paraId="55F6C532">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09FE9174">
            <w:pPr>
              <w:pStyle w:val="189"/>
              <w:jc w:val="left"/>
              <w:rPr>
                <w:rFonts w:eastAsia="Calibri"/>
                <w:szCs w:val="24"/>
              </w:rPr>
            </w:pPr>
            <w:r>
              <w:rPr>
                <w:rFonts w:eastAsia="Calibri"/>
                <w:szCs w:val="24"/>
              </w:rPr>
              <w:t>2.2</w:t>
            </w:r>
          </w:p>
        </w:tc>
        <w:tc>
          <w:tcPr>
            <w:tcW w:w="2410" w:type="dxa"/>
            <w:tcBorders>
              <w:top w:val="single" w:color="000000" w:sz="4" w:space="0"/>
              <w:left w:val="single" w:color="000000" w:sz="4" w:space="0"/>
              <w:bottom w:val="single" w:color="000000" w:sz="4" w:space="0"/>
            </w:tcBorders>
            <w:vAlign w:val="center"/>
          </w:tcPr>
          <w:p w14:paraId="4919B5DE">
            <w:pPr>
              <w:pStyle w:val="189"/>
              <w:jc w:val="left"/>
              <w:rPr>
                <w:szCs w:val="24"/>
              </w:rPr>
            </w:pPr>
            <w:r>
              <w:rPr>
                <w:szCs w:val="24"/>
              </w:rPr>
              <w:t>Сильные осадки</w:t>
            </w:r>
          </w:p>
        </w:tc>
        <w:tc>
          <w:tcPr>
            <w:tcW w:w="2409" w:type="dxa"/>
            <w:tcBorders>
              <w:top w:val="single" w:color="000000" w:sz="4" w:space="0"/>
              <w:left w:val="single" w:color="000000" w:sz="4" w:space="0"/>
              <w:bottom w:val="single" w:color="000000" w:sz="4" w:space="0"/>
            </w:tcBorders>
            <w:vAlign w:val="center"/>
          </w:tcPr>
          <w:p w14:paraId="5E1D5053">
            <w:pPr>
              <w:pStyle w:val="189"/>
              <w:jc w:val="left"/>
              <w:rPr>
                <w:rFonts w:eastAsia="Calibri"/>
                <w:szCs w:val="24"/>
              </w:rPr>
            </w:pPr>
          </w:p>
        </w:tc>
        <w:tc>
          <w:tcPr>
            <w:tcW w:w="4313" w:type="dxa"/>
            <w:tcBorders>
              <w:top w:val="single" w:color="000000" w:sz="4" w:space="0"/>
              <w:left w:val="single" w:color="000000" w:sz="4" w:space="0"/>
              <w:bottom w:val="single" w:color="000000" w:sz="4" w:space="0"/>
              <w:right w:val="single" w:color="000000" w:sz="4" w:space="0"/>
            </w:tcBorders>
            <w:vAlign w:val="center"/>
          </w:tcPr>
          <w:p w14:paraId="74042DF9">
            <w:pPr>
              <w:pStyle w:val="189"/>
              <w:jc w:val="left"/>
              <w:rPr>
                <w:rFonts w:eastAsia="Calibri"/>
                <w:szCs w:val="24"/>
              </w:rPr>
            </w:pPr>
          </w:p>
        </w:tc>
      </w:tr>
      <w:tr w14:paraId="05E10743">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73DFC7E5">
            <w:pPr>
              <w:pStyle w:val="189"/>
              <w:jc w:val="left"/>
              <w:rPr>
                <w:rFonts w:eastAsia="Calibri"/>
                <w:szCs w:val="24"/>
              </w:rPr>
            </w:pPr>
            <w:r>
              <w:rPr>
                <w:rFonts w:eastAsia="Calibri"/>
                <w:szCs w:val="24"/>
              </w:rPr>
              <w:t>2.2.1</w:t>
            </w:r>
          </w:p>
        </w:tc>
        <w:tc>
          <w:tcPr>
            <w:tcW w:w="2410" w:type="dxa"/>
            <w:tcBorders>
              <w:top w:val="single" w:color="000000" w:sz="4" w:space="0"/>
              <w:left w:val="single" w:color="000000" w:sz="4" w:space="0"/>
              <w:bottom w:val="single" w:color="000000" w:sz="4" w:space="0"/>
            </w:tcBorders>
            <w:vAlign w:val="center"/>
          </w:tcPr>
          <w:p w14:paraId="59D1AB4E">
            <w:pPr>
              <w:pStyle w:val="189"/>
              <w:jc w:val="left"/>
              <w:rPr>
                <w:szCs w:val="24"/>
              </w:rPr>
            </w:pPr>
            <w:r>
              <w:rPr>
                <w:szCs w:val="24"/>
              </w:rPr>
              <w:t>Продолжительный дождь (ливень)</w:t>
            </w:r>
          </w:p>
        </w:tc>
        <w:tc>
          <w:tcPr>
            <w:tcW w:w="2409" w:type="dxa"/>
            <w:tcBorders>
              <w:top w:val="single" w:color="000000" w:sz="4" w:space="0"/>
              <w:left w:val="single" w:color="000000" w:sz="4" w:space="0"/>
              <w:bottom w:val="single" w:color="000000" w:sz="4" w:space="0"/>
            </w:tcBorders>
            <w:vAlign w:val="center"/>
          </w:tcPr>
          <w:p w14:paraId="4C133C41">
            <w:pPr>
              <w:pStyle w:val="189"/>
              <w:jc w:val="left"/>
              <w:rPr>
                <w:szCs w:val="24"/>
              </w:rPr>
            </w:pPr>
            <w:r>
              <w:rPr>
                <w:szCs w:val="24"/>
              </w:rPr>
              <w:t>Гидродинамический</w:t>
            </w:r>
          </w:p>
        </w:tc>
        <w:tc>
          <w:tcPr>
            <w:tcW w:w="4313" w:type="dxa"/>
            <w:tcBorders>
              <w:top w:val="single" w:color="000000" w:sz="4" w:space="0"/>
              <w:left w:val="single" w:color="000000" w:sz="4" w:space="0"/>
              <w:bottom w:val="single" w:color="000000" w:sz="4" w:space="0"/>
              <w:right w:val="single" w:color="000000" w:sz="4" w:space="0"/>
            </w:tcBorders>
            <w:vAlign w:val="center"/>
          </w:tcPr>
          <w:p w14:paraId="2B2C3906">
            <w:pPr>
              <w:pStyle w:val="189"/>
              <w:jc w:val="left"/>
              <w:rPr>
                <w:szCs w:val="24"/>
              </w:rPr>
            </w:pPr>
            <w:r>
              <w:rPr>
                <w:szCs w:val="24"/>
              </w:rPr>
              <w:t>Поток (течение) воды</w:t>
            </w:r>
          </w:p>
        </w:tc>
      </w:tr>
      <w:tr w14:paraId="289AA772">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28A83D14">
            <w:pPr>
              <w:pStyle w:val="189"/>
              <w:jc w:val="left"/>
              <w:rPr>
                <w:rFonts w:eastAsia="Calibri"/>
                <w:szCs w:val="24"/>
              </w:rPr>
            </w:pPr>
            <w:r>
              <w:rPr>
                <w:rFonts w:eastAsia="Calibri"/>
                <w:szCs w:val="24"/>
              </w:rPr>
              <w:t>2.2.2</w:t>
            </w:r>
          </w:p>
        </w:tc>
        <w:tc>
          <w:tcPr>
            <w:tcW w:w="2410" w:type="dxa"/>
            <w:tcBorders>
              <w:top w:val="single" w:color="000000" w:sz="4" w:space="0"/>
              <w:left w:val="single" w:color="000000" w:sz="4" w:space="0"/>
              <w:bottom w:val="single" w:color="000000" w:sz="4" w:space="0"/>
            </w:tcBorders>
            <w:vAlign w:val="center"/>
          </w:tcPr>
          <w:p w14:paraId="250702B8">
            <w:pPr>
              <w:pStyle w:val="189"/>
              <w:jc w:val="left"/>
              <w:rPr>
                <w:rFonts w:eastAsia="Calibri"/>
                <w:szCs w:val="24"/>
              </w:rPr>
            </w:pPr>
            <w:r>
              <w:rPr>
                <w:rFonts w:eastAsia="Calibri"/>
                <w:szCs w:val="24"/>
              </w:rPr>
              <w:t>Сильный снегопад</w:t>
            </w:r>
          </w:p>
        </w:tc>
        <w:tc>
          <w:tcPr>
            <w:tcW w:w="2409" w:type="dxa"/>
            <w:tcBorders>
              <w:top w:val="single" w:color="000000" w:sz="4" w:space="0"/>
              <w:left w:val="single" w:color="000000" w:sz="4" w:space="0"/>
              <w:bottom w:val="single" w:color="000000" w:sz="4" w:space="0"/>
            </w:tcBorders>
            <w:vAlign w:val="center"/>
          </w:tcPr>
          <w:p w14:paraId="3EDEE1F6">
            <w:pPr>
              <w:pStyle w:val="189"/>
              <w:jc w:val="left"/>
              <w:rPr>
                <w:rFonts w:eastAsia="Calibri"/>
                <w:szCs w:val="24"/>
              </w:rPr>
            </w:pPr>
            <w:r>
              <w:rPr>
                <w:rFonts w:eastAsia="Calibri"/>
                <w:szCs w:val="24"/>
              </w:rPr>
              <w:t>Гидродинамический</w:t>
            </w:r>
          </w:p>
        </w:tc>
        <w:tc>
          <w:tcPr>
            <w:tcW w:w="4313" w:type="dxa"/>
            <w:tcBorders>
              <w:top w:val="single" w:color="000000" w:sz="4" w:space="0"/>
              <w:left w:val="single" w:color="000000" w:sz="4" w:space="0"/>
              <w:bottom w:val="single" w:color="000000" w:sz="4" w:space="0"/>
              <w:right w:val="single" w:color="000000" w:sz="4" w:space="0"/>
            </w:tcBorders>
          </w:tcPr>
          <w:p w14:paraId="2CEF147E">
            <w:pPr>
              <w:pStyle w:val="189"/>
              <w:jc w:val="left"/>
              <w:rPr>
                <w:rFonts w:eastAsia="Calibri"/>
                <w:szCs w:val="24"/>
              </w:rPr>
            </w:pPr>
            <w:r>
              <w:rPr>
                <w:rFonts w:eastAsia="Calibri"/>
                <w:szCs w:val="24"/>
              </w:rPr>
              <w:t xml:space="preserve">Снеговая нагрузка </w:t>
            </w:r>
          </w:p>
          <w:p w14:paraId="29310703">
            <w:pPr>
              <w:pStyle w:val="189"/>
              <w:jc w:val="left"/>
              <w:rPr>
                <w:rFonts w:eastAsia="Calibri"/>
                <w:szCs w:val="24"/>
              </w:rPr>
            </w:pPr>
            <w:r>
              <w:rPr>
                <w:rFonts w:eastAsia="Calibri"/>
                <w:szCs w:val="24"/>
              </w:rPr>
              <w:t>Снежные заносы</w:t>
            </w:r>
          </w:p>
        </w:tc>
      </w:tr>
      <w:tr w14:paraId="00BB85F0">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09CA139D">
            <w:pPr>
              <w:pStyle w:val="189"/>
              <w:jc w:val="left"/>
              <w:rPr>
                <w:rFonts w:eastAsia="Calibri"/>
                <w:szCs w:val="24"/>
              </w:rPr>
            </w:pPr>
            <w:r>
              <w:rPr>
                <w:rFonts w:eastAsia="Calibri"/>
                <w:szCs w:val="24"/>
              </w:rPr>
              <w:t>2.2.3</w:t>
            </w:r>
          </w:p>
        </w:tc>
        <w:tc>
          <w:tcPr>
            <w:tcW w:w="2410" w:type="dxa"/>
            <w:tcBorders>
              <w:top w:val="single" w:color="000000" w:sz="4" w:space="0"/>
              <w:left w:val="single" w:color="000000" w:sz="4" w:space="0"/>
              <w:bottom w:val="single" w:color="000000" w:sz="4" w:space="0"/>
            </w:tcBorders>
            <w:vAlign w:val="center"/>
          </w:tcPr>
          <w:p w14:paraId="5D05097A">
            <w:pPr>
              <w:pStyle w:val="189"/>
              <w:jc w:val="left"/>
              <w:rPr>
                <w:rFonts w:eastAsia="Calibri"/>
                <w:szCs w:val="24"/>
              </w:rPr>
            </w:pPr>
            <w:r>
              <w:rPr>
                <w:rFonts w:eastAsia="Calibri"/>
                <w:szCs w:val="24"/>
              </w:rPr>
              <w:t>Сильная метель</w:t>
            </w:r>
          </w:p>
        </w:tc>
        <w:tc>
          <w:tcPr>
            <w:tcW w:w="2409" w:type="dxa"/>
            <w:tcBorders>
              <w:top w:val="single" w:color="000000" w:sz="4" w:space="0"/>
              <w:left w:val="single" w:color="000000" w:sz="4" w:space="0"/>
              <w:bottom w:val="single" w:color="000000" w:sz="4" w:space="0"/>
            </w:tcBorders>
            <w:vAlign w:val="center"/>
          </w:tcPr>
          <w:p w14:paraId="2E42B9AF">
            <w:pPr>
              <w:pStyle w:val="189"/>
              <w:jc w:val="left"/>
              <w:rPr>
                <w:rFonts w:eastAsia="Calibri"/>
                <w:szCs w:val="24"/>
              </w:rPr>
            </w:pPr>
            <w:r>
              <w:rPr>
                <w:rFonts w:eastAsia="Calibri"/>
                <w:szCs w:val="24"/>
              </w:rPr>
              <w:t>Гидродинамический</w:t>
            </w:r>
          </w:p>
        </w:tc>
        <w:tc>
          <w:tcPr>
            <w:tcW w:w="4313" w:type="dxa"/>
            <w:tcBorders>
              <w:top w:val="single" w:color="000000" w:sz="4" w:space="0"/>
              <w:left w:val="single" w:color="000000" w:sz="4" w:space="0"/>
              <w:bottom w:val="single" w:color="000000" w:sz="4" w:space="0"/>
              <w:right w:val="single" w:color="000000" w:sz="4" w:space="0"/>
            </w:tcBorders>
          </w:tcPr>
          <w:p w14:paraId="716F1EDE">
            <w:pPr>
              <w:pStyle w:val="189"/>
              <w:jc w:val="left"/>
              <w:rPr>
                <w:rFonts w:eastAsia="Calibri"/>
                <w:szCs w:val="24"/>
              </w:rPr>
            </w:pPr>
            <w:r>
              <w:rPr>
                <w:rFonts w:eastAsia="Calibri"/>
                <w:szCs w:val="24"/>
              </w:rPr>
              <w:t xml:space="preserve">Снеговая нагрузка </w:t>
            </w:r>
          </w:p>
          <w:p w14:paraId="65F2B79A">
            <w:pPr>
              <w:pStyle w:val="189"/>
              <w:jc w:val="left"/>
              <w:rPr>
                <w:rFonts w:eastAsia="Calibri"/>
                <w:szCs w:val="24"/>
              </w:rPr>
            </w:pPr>
            <w:r>
              <w:rPr>
                <w:rFonts w:eastAsia="Calibri"/>
                <w:szCs w:val="24"/>
              </w:rPr>
              <w:t>Снежные заносы</w:t>
            </w:r>
          </w:p>
          <w:p w14:paraId="5996199A">
            <w:pPr>
              <w:pStyle w:val="189"/>
              <w:jc w:val="left"/>
              <w:rPr>
                <w:rFonts w:eastAsia="Calibri"/>
                <w:szCs w:val="24"/>
              </w:rPr>
            </w:pPr>
            <w:r>
              <w:rPr>
                <w:rFonts w:eastAsia="Calibri"/>
                <w:szCs w:val="24"/>
              </w:rPr>
              <w:t>Ветровая нагрузка</w:t>
            </w:r>
          </w:p>
        </w:tc>
      </w:tr>
      <w:tr w14:paraId="6D4E1060">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167B9884">
            <w:pPr>
              <w:pStyle w:val="189"/>
              <w:jc w:val="left"/>
              <w:rPr>
                <w:rFonts w:eastAsia="Calibri"/>
                <w:szCs w:val="24"/>
              </w:rPr>
            </w:pPr>
            <w:r>
              <w:rPr>
                <w:rFonts w:eastAsia="Calibri"/>
                <w:szCs w:val="24"/>
              </w:rPr>
              <w:t>2.2.4</w:t>
            </w:r>
          </w:p>
        </w:tc>
        <w:tc>
          <w:tcPr>
            <w:tcW w:w="2410" w:type="dxa"/>
            <w:tcBorders>
              <w:top w:val="single" w:color="000000" w:sz="4" w:space="0"/>
              <w:left w:val="single" w:color="000000" w:sz="4" w:space="0"/>
              <w:bottom w:val="single" w:color="000000" w:sz="4" w:space="0"/>
            </w:tcBorders>
            <w:vAlign w:val="center"/>
          </w:tcPr>
          <w:p w14:paraId="552A8C65">
            <w:pPr>
              <w:pStyle w:val="189"/>
              <w:jc w:val="left"/>
              <w:rPr>
                <w:rFonts w:eastAsia="Calibri"/>
                <w:szCs w:val="24"/>
              </w:rPr>
            </w:pPr>
            <w:r>
              <w:rPr>
                <w:rFonts w:eastAsia="Calibri"/>
                <w:szCs w:val="24"/>
              </w:rPr>
              <w:t>Гололед</w:t>
            </w:r>
          </w:p>
        </w:tc>
        <w:tc>
          <w:tcPr>
            <w:tcW w:w="2409" w:type="dxa"/>
            <w:tcBorders>
              <w:top w:val="single" w:color="000000" w:sz="4" w:space="0"/>
              <w:left w:val="single" w:color="000000" w:sz="4" w:space="0"/>
              <w:bottom w:val="single" w:color="000000" w:sz="4" w:space="0"/>
            </w:tcBorders>
            <w:vAlign w:val="bottom"/>
          </w:tcPr>
          <w:p w14:paraId="35087DB7">
            <w:pPr>
              <w:pStyle w:val="189"/>
              <w:jc w:val="left"/>
              <w:rPr>
                <w:rFonts w:eastAsia="Calibri"/>
                <w:szCs w:val="24"/>
              </w:rPr>
            </w:pPr>
            <w:r>
              <w:rPr>
                <w:rFonts w:eastAsia="Calibri"/>
                <w:szCs w:val="24"/>
              </w:rPr>
              <w:t>Гравитационный</w:t>
            </w:r>
          </w:p>
        </w:tc>
        <w:tc>
          <w:tcPr>
            <w:tcW w:w="4313" w:type="dxa"/>
            <w:tcBorders>
              <w:top w:val="single" w:color="000000" w:sz="4" w:space="0"/>
              <w:left w:val="single" w:color="000000" w:sz="4" w:space="0"/>
              <w:bottom w:val="single" w:color="000000" w:sz="4" w:space="0"/>
              <w:right w:val="single" w:color="000000" w:sz="4" w:space="0"/>
            </w:tcBorders>
            <w:vAlign w:val="center"/>
          </w:tcPr>
          <w:p w14:paraId="416F6E12">
            <w:pPr>
              <w:pStyle w:val="189"/>
              <w:jc w:val="left"/>
              <w:rPr>
                <w:rFonts w:eastAsia="Calibri"/>
                <w:szCs w:val="24"/>
              </w:rPr>
            </w:pPr>
            <w:r>
              <w:rPr>
                <w:rFonts w:eastAsia="Calibri"/>
                <w:szCs w:val="24"/>
              </w:rPr>
              <w:t>Гололедная нагрузка</w:t>
            </w:r>
          </w:p>
        </w:tc>
      </w:tr>
      <w:tr w14:paraId="40F93F86">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7C2EDAF1">
            <w:pPr>
              <w:pStyle w:val="189"/>
              <w:jc w:val="left"/>
              <w:rPr>
                <w:rFonts w:eastAsia="Calibri"/>
                <w:szCs w:val="24"/>
              </w:rPr>
            </w:pPr>
            <w:r>
              <w:rPr>
                <w:rFonts w:eastAsia="Calibri"/>
                <w:szCs w:val="24"/>
              </w:rPr>
              <w:t>2.2.5</w:t>
            </w:r>
          </w:p>
        </w:tc>
        <w:tc>
          <w:tcPr>
            <w:tcW w:w="2410" w:type="dxa"/>
            <w:tcBorders>
              <w:top w:val="single" w:color="000000" w:sz="4" w:space="0"/>
              <w:left w:val="single" w:color="000000" w:sz="4" w:space="0"/>
              <w:bottom w:val="single" w:color="000000" w:sz="4" w:space="0"/>
            </w:tcBorders>
            <w:vAlign w:val="center"/>
          </w:tcPr>
          <w:p w14:paraId="1245C517">
            <w:pPr>
              <w:pStyle w:val="189"/>
              <w:jc w:val="left"/>
              <w:rPr>
                <w:rFonts w:eastAsia="Calibri"/>
                <w:szCs w:val="24"/>
              </w:rPr>
            </w:pPr>
            <w:r>
              <w:rPr>
                <w:rFonts w:eastAsia="Calibri"/>
                <w:szCs w:val="24"/>
              </w:rPr>
              <w:t>Град</w:t>
            </w:r>
          </w:p>
        </w:tc>
        <w:tc>
          <w:tcPr>
            <w:tcW w:w="2409" w:type="dxa"/>
            <w:tcBorders>
              <w:top w:val="single" w:color="000000" w:sz="4" w:space="0"/>
              <w:left w:val="single" w:color="000000" w:sz="4" w:space="0"/>
              <w:bottom w:val="single" w:color="000000" w:sz="4" w:space="0"/>
            </w:tcBorders>
            <w:vAlign w:val="bottom"/>
          </w:tcPr>
          <w:p w14:paraId="00B50283">
            <w:pPr>
              <w:pStyle w:val="189"/>
              <w:jc w:val="left"/>
              <w:rPr>
                <w:rFonts w:eastAsia="Calibri"/>
                <w:szCs w:val="24"/>
              </w:rPr>
            </w:pPr>
            <w:r>
              <w:rPr>
                <w:rFonts w:eastAsia="Calibri"/>
                <w:szCs w:val="24"/>
              </w:rPr>
              <w:t>Динамический</w:t>
            </w:r>
          </w:p>
        </w:tc>
        <w:tc>
          <w:tcPr>
            <w:tcW w:w="4313" w:type="dxa"/>
            <w:tcBorders>
              <w:top w:val="single" w:color="000000" w:sz="4" w:space="0"/>
              <w:left w:val="single" w:color="000000" w:sz="4" w:space="0"/>
              <w:bottom w:val="single" w:color="000000" w:sz="4" w:space="0"/>
              <w:right w:val="single" w:color="000000" w:sz="4" w:space="0"/>
            </w:tcBorders>
            <w:vAlign w:val="center"/>
          </w:tcPr>
          <w:p w14:paraId="71F1CA50">
            <w:pPr>
              <w:pStyle w:val="189"/>
              <w:jc w:val="left"/>
              <w:rPr>
                <w:rFonts w:eastAsia="Calibri"/>
                <w:szCs w:val="24"/>
              </w:rPr>
            </w:pPr>
            <w:r>
              <w:rPr>
                <w:rFonts w:eastAsia="Calibri"/>
                <w:szCs w:val="24"/>
              </w:rPr>
              <w:t>Удар</w:t>
            </w:r>
          </w:p>
        </w:tc>
      </w:tr>
      <w:tr w14:paraId="55F92F7C">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5A17E70F">
            <w:pPr>
              <w:pStyle w:val="189"/>
              <w:jc w:val="left"/>
              <w:rPr>
                <w:rFonts w:eastAsia="Calibri"/>
                <w:szCs w:val="24"/>
              </w:rPr>
            </w:pPr>
            <w:r>
              <w:rPr>
                <w:rFonts w:eastAsia="Calibri"/>
                <w:szCs w:val="24"/>
              </w:rPr>
              <w:t>2.3</w:t>
            </w:r>
          </w:p>
        </w:tc>
        <w:tc>
          <w:tcPr>
            <w:tcW w:w="2410" w:type="dxa"/>
            <w:tcBorders>
              <w:top w:val="single" w:color="000000" w:sz="4" w:space="0"/>
              <w:left w:val="single" w:color="000000" w:sz="4" w:space="0"/>
              <w:bottom w:val="single" w:color="000000" w:sz="4" w:space="0"/>
            </w:tcBorders>
            <w:vAlign w:val="center"/>
          </w:tcPr>
          <w:p w14:paraId="58930201">
            <w:pPr>
              <w:pStyle w:val="189"/>
              <w:jc w:val="left"/>
              <w:rPr>
                <w:rFonts w:eastAsia="Calibri"/>
                <w:szCs w:val="24"/>
              </w:rPr>
            </w:pPr>
            <w:r>
              <w:rPr>
                <w:rFonts w:eastAsia="Calibri"/>
                <w:szCs w:val="24"/>
              </w:rPr>
              <w:t>Туман</w:t>
            </w:r>
          </w:p>
        </w:tc>
        <w:tc>
          <w:tcPr>
            <w:tcW w:w="2409" w:type="dxa"/>
            <w:tcBorders>
              <w:top w:val="single" w:color="000000" w:sz="4" w:space="0"/>
              <w:left w:val="single" w:color="000000" w:sz="4" w:space="0"/>
              <w:bottom w:val="single" w:color="000000" w:sz="4" w:space="0"/>
            </w:tcBorders>
            <w:vAlign w:val="bottom"/>
          </w:tcPr>
          <w:p w14:paraId="73F4244C">
            <w:pPr>
              <w:pStyle w:val="189"/>
              <w:jc w:val="left"/>
              <w:rPr>
                <w:rFonts w:eastAsia="Calibri"/>
                <w:szCs w:val="24"/>
              </w:rPr>
            </w:pPr>
            <w:r>
              <w:rPr>
                <w:rFonts w:eastAsia="Calibri"/>
                <w:szCs w:val="24"/>
              </w:rPr>
              <w:t>Теплофизический</w:t>
            </w:r>
          </w:p>
        </w:tc>
        <w:tc>
          <w:tcPr>
            <w:tcW w:w="4313" w:type="dxa"/>
            <w:tcBorders>
              <w:top w:val="single" w:color="000000" w:sz="4" w:space="0"/>
              <w:left w:val="single" w:color="000000" w:sz="4" w:space="0"/>
              <w:bottom w:val="single" w:color="000000" w:sz="4" w:space="0"/>
              <w:right w:val="single" w:color="000000" w:sz="4" w:space="0"/>
            </w:tcBorders>
            <w:vAlign w:val="center"/>
          </w:tcPr>
          <w:p w14:paraId="15264D96">
            <w:pPr>
              <w:pStyle w:val="189"/>
              <w:jc w:val="left"/>
              <w:rPr>
                <w:rFonts w:eastAsia="Calibri"/>
                <w:szCs w:val="24"/>
              </w:rPr>
            </w:pPr>
            <w:r>
              <w:rPr>
                <w:rFonts w:eastAsia="Calibri"/>
                <w:szCs w:val="24"/>
              </w:rPr>
              <w:t>Снижение видимости (помутнение воздуха)</w:t>
            </w:r>
          </w:p>
        </w:tc>
      </w:tr>
      <w:tr w14:paraId="5D1FD44D">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41AEB0BD">
            <w:pPr>
              <w:pStyle w:val="189"/>
              <w:jc w:val="left"/>
              <w:rPr>
                <w:rFonts w:eastAsia="Calibri"/>
                <w:szCs w:val="24"/>
              </w:rPr>
            </w:pPr>
            <w:r>
              <w:rPr>
                <w:rFonts w:eastAsia="Calibri"/>
                <w:szCs w:val="24"/>
              </w:rPr>
              <w:t>2.4</w:t>
            </w:r>
          </w:p>
        </w:tc>
        <w:tc>
          <w:tcPr>
            <w:tcW w:w="2410" w:type="dxa"/>
            <w:tcBorders>
              <w:top w:val="single" w:color="000000" w:sz="4" w:space="0"/>
              <w:left w:val="single" w:color="000000" w:sz="4" w:space="0"/>
              <w:bottom w:val="single" w:color="000000" w:sz="4" w:space="0"/>
            </w:tcBorders>
            <w:vAlign w:val="center"/>
          </w:tcPr>
          <w:p w14:paraId="6ADD596B">
            <w:pPr>
              <w:pStyle w:val="189"/>
              <w:jc w:val="left"/>
              <w:rPr>
                <w:rFonts w:eastAsia="Calibri"/>
                <w:szCs w:val="24"/>
              </w:rPr>
            </w:pPr>
            <w:r>
              <w:rPr>
                <w:rFonts w:eastAsia="Calibri"/>
                <w:szCs w:val="24"/>
              </w:rPr>
              <w:t>Заморозок</w:t>
            </w:r>
          </w:p>
        </w:tc>
        <w:tc>
          <w:tcPr>
            <w:tcW w:w="2409" w:type="dxa"/>
            <w:tcBorders>
              <w:top w:val="single" w:color="000000" w:sz="4" w:space="0"/>
              <w:left w:val="single" w:color="000000" w:sz="4" w:space="0"/>
              <w:bottom w:val="single" w:color="000000" w:sz="4" w:space="0"/>
            </w:tcBorders>
            <w:vAlign w:val="center"/>
          </w:tcPr>
          <w:p w14:paraId="1DF750FF">
            <w:pPr>
              <w:pStyle w:val="189"/>
              <w:jc w:val="left"/>
              <w:rPr>
                <w:rFonts w:eastAsia="Calibri"/>
                <w:szCs w:val="24"/>
              </w:rPr>
            </w:pPr>
            <w:r>
              <w:rPr>
                <w:rFonts w:eastAsia="Calibri"/>
                <w:szCs w:val="24"/>
              </w:rPr>
              <w:t>Тепловой</w:t>
            </w:r>
          </w:p>
        </w:tc>
        <w:tc>
          <w:tcPr>
            <w:tcW w:w="4313" w:type="dxa"/>
            <w:tcBorders>
              <w:top w:val="single" w:color="000000" w:sz="4" w:space="0"/>
              <w:left w:val="single" w:color="000000" w:sz="4" w:space="0"/>
              <w:bottom w:val="single" w:color="000000" w:sz="4" w:space="0"/>
              <w:right w:val="single" w:color="000000" w:sz="4" w:space="0"/>
            </w:tcBorders>
            <w:vAlign w:val="center"/>
          </w:tcPr>
          <w:p w14:paraId="782C1222">
            <w:pPr>
              <w:pStyle w:val="189"/>
              <w:jc w:val="left"/>
              <w:rPr>
                <w:rFonts w:eastAsia="Calibri"/>
                <w:szCs w:val="24"/>
              </w:rPr>
            </w:pPr>
            <w:r>
              <w:rPr>
                <w:rFonts w:eastAsia="Calibri"/>
                <w:szCs w:val="24"/>
              </w:rPr>
              <w:t>Охлаждение почвы, воздуха</w:t>
            </w:r>
          </w:p>
        </w:tc>
      </w:tr>
      <w:tr w14:paraId="19FD1C10">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363B89F8">
            <w:pPr>
              <w:pStyle w:val="189"/>
              <w:jc w:val="left"/>
              <w:rPr>
                <w:rFonts w:eastAsia="Calibri"/>
                <w:szCs w:val="24"/>
              </w:rPr>
            </w:pPr>
            <w:r>
              <w:rPr>
                <w:rFonts w:eastAsia="Calibri"/>
                <w:szCs w:val="24"/>
              </w:rPr>
              <w:t>2.5</w:t>
            </w:r>
          </w:p>
        </w:tc>
        <w:tc>
          <w:tcPr>
            <w:tcW w:w="2410" w:type="dxa"/>
            <w:tcBorders>
              <w:top w:val="single" w:color="000000" w:sz="4" w:space="0"/>
              <w:left w:val="single" w:color="000000" w:sz="4" w:space="0"/>
              <w:bottom w:val="single" w:color="000000" w:sz="4" w:space="0"/>
            </w:tcBorders>
            <w:vAlign w:val="center"/>
          </w:tcPr>
          <w:p w14:paraId="3EF43CE5">
            <w:pPr>
              <w:pStyle w:val="189"/>
              <w:jc w:val="left"/>
              <w:rPr>
                <w:rFonts w:eastAsia="Calibri"/>
                <w:szCs w:val="24"/>
              </w:rPr>
            </w:pPr>
            <w:r>
              <w:rPr>
                <w:rFonts w:eastAsia="Calibri"/>
                <w:szCs w:val="24"/>
              </w:rPr>
              <w:t>Засуха</w:t>
            </w:r>
          </w:p>
        </w:tc>
        <w:tc>
          <w:tcPr>
            <w:tcW w:w="2409" w:type="dxa"/>
            <w:tcBorders>
              <w:top w:val="single" w:color="000000" w:sz="4" w:space="0"/>
              <w:left w:val="single" w:color="000000" w:sz="4" w:space="0"/>
              <w:bottom w:val="single" w:color="000000" w:sz="4" w:space="0"/>
            </w:tcBorders>
            <w:vAlign w:val="center"/>
          </w:tcPr>
          <w:p w14:paraId="4C586532">
            <w:pPr>
              <w:pStyle w:val="189"/>
              <w:jc w:val="left"/>
              <w:rPr>
                <w:rFonts w:eastAsia="Calibri"/>
                <w:szCs w:val="24"/>
              </w:rPr>
            </w:pPr>
            <w:r>
              <w:rPr>
                <w:rFonts w:eastAsia="Calibri"/>
                <w:szCs w:val="24"/>
              </w:rPr>
              <w:t>Тепловой</w:t>
            </w:r>
          </w:p>
        </w:tc>
        <w:tc>
          <w:tcPr>
            <w:tcW w:w="4313" w:type="dxa"/>
            <w:tcBorders>
              <w:top w:val="single" w:color="000000" w:sz="4" w:space="0"/>
              <w:left w:val="single" w:color="000000" w:sz="4" w:space="0"/>
              <w:bottom w:val="single" w:color="000000" w:sz="4" w:space="0"/>
              <w:right w:val="single" w:color="000000" w:sz="4" w:space="0"/>
            </w:tcBorders>
            <w:vAlign w:val="center"/>
          </w:tcPr>
          <w:p w14:paraId="56B54843">
            <w:pPr>
              <w:pStyle w:val="189"/>
              <w:jc w:val="left"/>
              <w:rPr>
                <w:rFonts w:eastAsia="Calibri"/>
                <w:szCs w:val="24"/>
              </w:rPr>
            </w:pPr>
            <w:r>
              <w:rPr>
                <w:rFonts w:eastAsia="Calibri"/>
                <w:szCs w:val="24"/>
              </w:rPr>
              <w:t>Нагревание почвы, воздуха</w:t>
            </w:r>
          </w:p>
        </w:tc>
      </w:tr>
      <w:tr w14:paraId="2C002625">
        <w:tblPrEx>
          <w:tblCellMar>
            <w:top w:w="0" w:type="dxa"/>
            <w:left w:w="108" w:type="dxa"/>
            <w:bottom w:w="0" w:type="dxa"/>
            <w:right w:w="108" w:type="dxa"/>
          </w:tblCellMar>
        </w:tblPrEx>
        <w:trPr>
          <w:cantSplit/>
          <w:trHeight w:val="20" w:hRule="atLeast"/>
          <w:jc w:val="center"/>
        </w:trPr>
        <w:tc>
          <w:tcPr>
            <w:tcW w:w="808" w:type="dxa"/>
            <w:tcBorders>
              <w:top w:val="single" w:color="000000" w:sz="4" w:space="0"/>
              <w:left w:val="single" w:color="000000" w:sz="4" w:space="0"/>
              <w:bottom w:val="single" w:color="000000" w:sz="4" w:space="0"/>
            </w:tcBorders>
            <w:vAlign w:val="center"/>
          </w:tcPr>
          <w:p w14:paraId="14D92BEC">
            <w:pPr>
              <w:pStyle w:val="189"/>
              <w:jc w:val="left"/>
              <w:rPr>
                <w:rFonts w:eastAsia="Calibri"/>
                <w:szCs w:val="24"/>
              </w:rPr>
            </w:pPr>
            <w:r>
              <w:rPr>
                <w:rFonts w:eastAsia="Calibri"/>
                <w:szCs w:val="24"/>
              </w:rPr>
              <w:t>2.6</w:t>
            </w:r>
          </w:p>
        </w:tc>
        <w:tc>
          <w:tcPr>
            <w:tcW w:w="2410" w:type="dxa"/>
            <w:tcBorders>
              <w:top w:val="single" w:color="000000" w:sz="4" w:space="0"/>
              <w:left w:val="single" w:color="000000" w:sz="4" w:space="0"/>
              <w:bottom w:val="single" w:color="000000" w:sz="4" w:space="0"/>
            </w:tcBorders>
            <w:vAlign w:val="center"/>
          </w:tcPr>
          <w:p w14:paraId="1DBD81A6">
            <w:pPr>
              <w:pStyle w:val="189"/>
              <w:jc w:val="left"/>
              <w:rPr>
                <w:rFonts w:eastAsia="Calibri"/>
                <w:szCs w:val="24"/>
              </w:rPr>
            </w:pPr>
            <w:r>
              <w:rPr>
                <w:rFonts w:eastAsia="Calibri"/>
                <w:szCs w:val="24"/>
              </w:rPr>
              <w:t>Гроза</w:t>
            </w:r>
          </w:p>
        </w:tc>
        <w:tc>
          <w:tcPr>
            <w:tcW w:w="2409" w:type="dxa"/>
            <w:tcBorders>
              <w:top w:val="single" w:color="000000" w:sz="4" w:space="0"/>
              <w:left w:val="single" w:color="000000" w:sz="4" w:space="0"/>
              <w:bottom w:val="single" w:color="000000" w:sz="4" w:space="0"/>
            </w:tcBorders>
            <w:vAlign w:val="center"/>
          </w:tcPr>
          <w:p w14:paraId="489FE5D1">
            <w:pPr>
              <w:pStyle w:val="189"/>
              <w:jc w:val="left"/>
              <w:rPr>
                <w:rFonts w:eastAsia="Calibri"/>
                <w:szCs w:val="24"/>
              </w:rPr>
            </w:pPr>
            <w:r>
              <w:rPr>
                <w:rFonts w:eastAsia="Calibri"/>
                <w:szCs w:val="24"/>
              </w:rPr>
              <w:t>Электрофизический</w:t>
            </w:r>
          </w:p>
        </w:tc>
        <w:tc>
          <w:tcPr>
            <w:tcW w:w="4313" w:type="dxa"/>
            <w:tcBorders>
              <w:top w:val="single" w:color="000000" w:sz="4" w:space="0"/>
              <w:left w:val="single" w:color="000000" w:sz="4" w:space="0"/>
              <w:bottom w:val="single" w:color="000000" w:sz="4" w:space="0"/>
              <w:right w:val="single" w:color="000000" w:sz="4" w:space="0"/>
            </w:tcBorders>
            <w:vAlign w:val="center"/>
          </w:tcPr>
          <w:p w14:paraId="4C77F76F">
            <w:pPr>
              <w:pStyle w:val="189"/>
              <w:jc w:val="left"/>
              <w:rPr>
                <w:rFonts w:eastAsia="Calibri"/>
                <w:szCs w:val="24"/>
              </w:rPr>
            </w:pPr>
            <w:r>
              <w:rPr>
                <w:rFonts w:eastAsia="Calibri"/>
                <w:szCs w:val="24"/>
              </w:rPr>
              <w:t>Электрические разряды</w:t>
            </w:r>
          </w:p>
        </w:tc>
      </w:tr>
      <w:tr w14:paraId="11919A59">
        <w:tblPrEx>
          <w:tblCellMar>
            <w:top w:w="0" w:type="dxa"/>
            <w:left w:w="108" w:type="dxa"/>
            <w:bottom w:w="0" w:type="dxa"/>
            <w:right w:w="108" w:type="dxa"/>
          </w:tblCellMar>
        </w:tblPrEx>
        <w:trPr>
          <w:cantSplit/>
          <w:trHeight w:val="20" w:hRule="atLeast"/>
          <w:jc w:val="center"/>
        </w:trPr>
        <w:tc>
          <w:tcPr>
            <w:tcW w:w="9940" w:type="dxa"/>
            <w:gridSpan w:val="4"/>
            <w:tcBorders>
              <w:top w:val="single" w:color="000000" w:sz="4" w:space="0"/>
              <w:left w:val="single" w:color="000000" w:sz="4" w:space="0"/>
              <w:bottom w:val="single" w:color="000000" w:sz="4" w:space="0"/>
              <w:right w:val="single" w:color="000000" w:sz="4" w:space="0"/>
            </w:tcBorders>
            <w:vAlign w:val="center"/>
          </w:tcPr>
          <w:p w14:paraId="5F52FD15">
            <w:pPr>
              <w:pStyle w:val="187"/>
            </w:pPr>
            <w:r>
              <w:t>Природные пожары</w:t>
            </w:r>
          </w:p>
        </w:tc>
      </w:tr>
      <w:tr w14:paraId="16DCC39B">
        <w:tblPrEx>
          <w:tblCellMar>
            <w:top w:w="0" w:type="dxa"/>
            <w:left w:w="108" w:type="dxa"/>
            <w:bottom w:w="0" w:type="dxa"/>
            <w:right w:w="108" w:type="dxa"/>
          </w:tblCellMar>
        </w:tblPrEx>
        <w:trPr>
          <w:cantSplit/>
          <w:trHeight w:val="20" w:hRule="atLeast"/>
          <w:jc w:val="center"/>
        </w:trPr>
        <w:tc>
          <w:tcPr>
            <w:tcW w:w="808" w:type="dxa"/>
            <w:vMerge w:val="restart"/>
            <w:tcBorders>
              <w:top w:val="single" w:color="000000" w:sz="4" w:space="0"/>
              <w:left w:val="single" w:color="000000" w:sz="4" w:space="0"/>
              <w:bottom w:val="single" w:color="000000" w:sz="4" w:space="0"/>
            </w:tcBorders>
            <w:vAlign w:val="center"/>
          </w:tcPr>
          <w:p w14:paraId="30985204">
            <w:pPr>
              <w:pStyle w:val="189"/>
              <w:jc w:val="left"/>
              <w:rPr>
                <w:rFonts w:eastAsia="Calibri"/>
                <w:szCs w:val="24"/>
              </w:rPr>
            </w:pPr>
            <w:r>
              <w:rPr>
                <w:rFonts w:eastAsia="Calibri"/>
                <w:szCs w:val="24"/>
              </w:rPr>
              <w:t>3.1</w:t>
            </w:r>
          </w:p>
        </w:tc>
        <w:tc>
          <w:tcPr>
            <w:tcW w:w="2410" w:type="dxa"/>
            <w:vMerge w:val="restart"/>
            <w:tcBorders>
              <w:top w:val="single" w:color="000000" w:sz="4" w:space="0"/>
              <w:left w:val="single" w:color="000000" w:sz="4" w:space="0"/>
              <w:bottom w:val="single" w:color="000000" w:sz="4" w:space="0"/>
            </w:tcBorders>
            <w:vAlign w:val="center"/>
          </w:tcPr>
          <w:p w14:paraId="62FC07BE">
            <w:pPr>
              <w:pStyle w:val="189"/>
              <w:jc w:val="left"/>
              <w:rPr>
                <w:rFonts w:eastAsia="Calibri"/>
                <w:szCs w:val="24"/>
              </w:rPr>
            </w:pPr>
            <w:r>
              <w:rPr>
                <w:rFonts w:eastAsia="Calibri"/>
                <w:szCs w:val="24"/>
              </w:rPr>
              <w:t>Пожар (ландшафтный, степной, лесной)</w:t>
            </w:r>
          </w:p>
        </w:tc>
        <w:tc>
          <w:tcPr>
            <w:tcW w:w="2409" w:type="dxa"/>
            <w:tcBorders>
              <w:top w:val="single" w:color="000000" w:sz="4" w:space="0"/>
              <w:left w:val="single" w:color="000000" w:sz="4" w:space="0"/>
              <w:bottom w:val="single" w:color="000000" w:sz="4" w:space="0"/>
            </w:tcBorders>
            <w:vAlign w:val="center"/>
          </w:tcPr>
          <w:p w14:paraId="71B973F3">
            <w:pPr>
              <w:pStyle w:val="189"/>
              <w:jc w:val="left"/>
              <w:rPr>
                <w:rFonts w:eastAsia="Calibri"/>
                <w:szCs w:val="24"/>
              </w:rPr>
            </w:pPr>
            <w:r>
              <w:rPr>
                <w:rFonts w:eastAsia="Calibri"/>
                <w:szCs w:val="24"/>
              </w:rPr>
              <w:t>Теплофизический</w:t>
            </w:r>
          </w:p>
        </w:tc>
        <w:tc>
          <w:tcPr>
            <w:tcW w:w="4313" w:type="dxa"/>
            <w:tcBorders>
              <w:top w:val="single" w:color="000000" w:sz="4" w:space="0"/>
              <w:left w:val="single" w:color="000000" w:sz="4" w:space="0"/>
              <w:bottom w:val="single" w:color="000000" w:sz="4" w:space="0"/>
              <w:right w:val="single" w:color="000000" w:sz="4" w:space="0"/>
            </w:tcBorders>
          </w:tcPr>
          <w:p w14:paraId="64C89CF8">
            <w:pPr>
              <w:pStyle w:val="189"/>
              <w:jc w:val="left"/>
              <w:rPr>
                <w:rFonts w:eastAsia="Calibri"/>
                <w:szCs w:val="24"/>
              </w:rPr>
            </w:pPr>
            <w:r>
              <w:rPr>
                <w:rFonts w:eastAsia="Calibri"/>
                <w:szCs w:val="24"/>
              </w:rPr>
              <w:t xml:space="preserve">Пламя </w:t>
            </w:r>
          </w:p>
          <w:p w14:paraId="725655BD">
            <w:pPr>
              <w:pStyle w:val="189"/>
              <w:jc w:val="left"/>
              <w:rPr>
                <w:rFonts w:eastAsia="Calibri"/>
                <w:szCs w:val="24"/>
              </w:rPr>
            </w:pPr>
            <w:r>
              <w:rPr>
                <w:rFonts w:eastAsia="Calibri"/>
                <w:szCs w:val="24"/>
              </w:rPr>
              <w:t xml:space="preserve">Нагрев тепловым потоком </w:t>
            </w:r>
          </w:p>
          <w:p w14:paraId="5D4A9971">
            <w:pPr>
              <w:pStyle w:val="189"/>
              <w:jc w:val="left"/>
              <w:rPr>
                <w:rFonts w:eastAsia="Calibri"/>
                <w:szCs w:val="24"/>
              </w:rPr>
            </w:pPr>
            <w:r>
              <w:rPr>
                <w:rFonts w:eastAsia="Calibri"/>
                <w:szCs w:val="24"/>
              </w:rPr>
              <w:t>Тепловой удар</w:t>
            </w:r>
          </w:p>
          <w:p w14:paraId="414F3B42">
            <w:pPr>
              <w:pStyle w:val="189"/>
              <w:jc w:val="left"/>
              <w:rPr>
                <w:rFonts w:eastAsia="Calibri"/>
                <w:szCs w:val="24"/>
              </w:rPr>
            </w:pPr>
            <w:r>
              <w:rPr>
                <w:rFonts w:eastAsia="Calibri"/>
                <w:szCs w:val="24"/>
              </w:rPr>
              <w:t>Помутнение воздуха</w:t>
            </w:r>
          </w:p>
          <w:p w14:paraId="090F7310">
            <w:pPr>
              <w:pStyle w:val="189"/>
              <w:jc w:val="left"/>
              <w:rPr>
                <w:rFonts w:eastAsia="Calibri"/>
                <w:szCs w:val="24"/>
              </w:rPr>
            </w:pPr>
            <w:r>
              <w:rPr>
                <w:rFonts w:eastAsia="Calibri"/>
                <w:szCs w:val="24"/>
              </w:rPr>
              <w:t>Опасные дымы</w:t>
            </w:r>
          </w:p>
        </w:tc>
      </w:tr>
      <w:tr w14:paraId="42D55D80">
        <w:tblPrEx>
          <w:tblCellMar>
            <w:top w:w="0" w:type="dxa"/>
            <w:left w:w="108" w:type="dxa"/>
            <w:bottom w:w="0" w:type="dxa"/>
            <w:right w:w="108" w:type="dxa"/>
          </w:tblCellMar>
        </w:tblPrEx>
        <w:trPr>
          <w:cantSplit/>
          <w:trHeight w:val="20" w:hRule="atLeast"/>
          <w:jc w:val="center"/>
        </w:trPr>
        <w:tc>
          <w:tcPr>
            <w:tcW w:w="808" w:type="dxa"/>
            <w:vMerge w:val="continue"/>
            <w:tcBorders>
              <w:top w:val="single" w:color="000000" w:sz="4" w:space="0"/>
              <w:left w:val="single" w:color="000000" w:sz="4" w:space="0"/>
              <w:bottom w:val="single" w:color="000000" w:sz="4" w:space="0"/>
            </w:tcBorders>
            <w:vAlign w:val="center"/>
          </w:tcPr>
          <w:p w14:paraId="610DBDA0">
            <w:pPr>
              <w:pStyle w:val="189"/>
              <w:jc w:val="left"/>
              <w:rPr>
                <w:szCs w:val="24"/>
              </w:rPr>
            </w:pPr>
          </w:p>
        </w:tc>
        <w:tc>
          <w:tcPr>
            <w:tcW w:w="2410" w:type="dxa"/>
            <w:vMerge w:val="continue"/>
            <w:tcBorders>
              <w:top w:val="single" w:color="000000" w:sz="4" w:space="0"/>
              <w:left w:val="single" w:color="000000" w:sz="4" w:space="0"/>
              <w:bottom w:val="single" w:color="000000" w:sz="4" w:space="0"/>
            </w:tcBorders>
            <w:vAlign w:val="center"/>
          </w:tcPr>
          <w:p w14:paraId="0E2DCC7D">
            <w:pPr>
              <w:pStyle w:val="189"/>
              <w:jc w:val="left"/>
              <w:rPr>
                <w:szCs w:val="24"/>
              </w:rPr>
            </w:pPr>
          </w:p>
        </w:tc>
        <w:tc>
          <w:tcPr>
            <w:tcW w:w="2409" w:type="dxa"/>
            <w:tcBorders>
              <w:top w:val="single" w:color="000000" w:sz="4" w:space="0"/>
              <w:left w:val="single" w:color="000000" w:sz="4" w:space="0"/>
              <w:bottom w:val="single" w:color="000000" w:sz="4" w:space="0"/>
            </w:tcBorders>
            <w:vAlign w:val="center"/>
          </w:tcPr>
          <w:p w14:paraId="47FC571E">
            <w:pPr>
              <w:pStyle w:val="189"/>
              <w:jc w:val="left"/>
              <w:rPr>
                <w:rFonts w:eastAsia="Calibri"/>
                <w:szCs w:val="24"/>
              </w:rPr>
            </w:pPr>
            <w:r>
              <w:rPr>
                <w:rFonts w:eastAsia="Calibri"/>
                <w:szCs w:val="24"/>
              </w:rPr>
              <w:t>Химический</w:t>
            </w:r>
          </w:p>
        </w:tc>
        <w:tc>
          <w:tcPr>
            <w:tcW w:w="4313" w:type="dxa"/>
            <w:tcBorders>
              <w:top w:val="single" w:color="000000" w:sz="4" w:space="0"/>
              <w:left w:val="single" w:color="000000" w:sz="4" w:space="0"/>
              <w:bottom w:val="single" w:color="000000" w:sz="4" w:space="0"/>
              <w:right w:val="single" w:color="000000" w:sz="4" w:space="0"/>
            </w:tcBorders>
          </w:tcPr>
          <w:p w14:paraId="07E02337">
            <w:pPr>
              <w:pStyle w:val="189"/>
              <w:jc w:val="left"/>
              <w:rPr>
                <w:rFonts w:eastAsia="Calibri"/>
                <w:szCs w:val="24"/>
              </w:rPr>
            </w:pPr>
            <w:r>
              <w:rPr>
                <w:rFonts w:eastAsia="Calibri"/>
                <w:szCs w:val="24"/>
              </w:rPr>
              <w:t>Загрязнение атмосферы, почвы, грунтов, гидросферы</w:t>
            </w:r>
          </w:p>
        </w:tc>
      </w:tr>
    </w:tbl>
    <w:p w14:paraId="03AF2496">
      <w:pPr>
        <w:keepNext/>
        <w:ind w:firstLine="720"/>
        <w:jc w:val="center"/>
        <w:rPr>
          <w:b/>
          <w:i/>
          <w:szCs w:val="28"/>
          <w:lang w:val="ru-RU"/>
        </w:rPr>
      </w:pPr>
      <w:r>
        <w:rPr>
          <w:b/>
          <w:i/>
          <w:szCs w:val="28"/>
          <w:lang w:val="ru-RU"/>
        </w:rPr>
        <w:t>Опасные гидрологические явления и процессы.</w:t>
      </w:r>
    </w:p>
    <w:p w14:paraId="298C3CF1">
      <w:pPr>
        <w:spacing w:line="276" w:lineRule="auto"/>
        <w:ind w:firstLine="567"/>
        <w:contextualSpacing/>
        <w:jc w:val="both"/>
        <w:rPr>
          <w:sz w:val="28"/>
          <w:szCs w:val="28"/>
          <w:lang w:val="ru-RU"/>
        </w:rPr>
      </w:pPr>
      <w:r>
        <w:rPr>
          <w:sz w:val="28"/>
          <w:szCs w:val="28"/>
          <w:lang w:val="ru-RU"/>
        </w:rPr>
        <w:t xml:space="preserve">Границы зон затопления, подтопления на планируемой территории необходимо определить в соответствии с Правилами определения зон затопления, подтопления, утвержденными Постановлением Правительства Российской Федерации от 18.04.2014 № 360 (далее - Правила определения зон затопления, подтопления). </w:t>
      </w:r>
    </w:p>
    <w:p w14:paraId="7B983FF3">
      <w:pPr>
        <w:spacing w:line="276" w:lineRule="auto"/>
        <w:ind w:firstLine="567"/>
        <w:contextualSpacing/>
        <w:jc w:val="both"/>
        <w:rPr>
          <w:sz w:val="28"/>
          <w:szCs w:val="28"/>
          <w:lang w:val="ru-RU"/>
        </w:rPr>
      </w:pPr>
      <w:r>
        <w:rPr>
          <w:sz w:val="28"/>
          <w:szCs w:val="28"/>
          <w:lang w:val="ru-RU"/>
        </w:rPr>
        <w:t>Во исполнение Постановления Правительства Российской Федерации от 18.04.2014 № 360 «Об определении границ зон затопления» и подпункта «в» пункта 5 перечня поручений по итогам совещания Президента Российской Федерации 27.09.2017 (протокол от 18.01.2017 № Пр-2107) Главным управлением МЧС России по Белгородской области (далее – Главным управлением) организовано взаимодействие с органом исполнительной власти.</w:t>
      </w:r>
    </w:p>
    <w:p w14:paraId="5782FBA5">
      <w:pPr>
        <w:spacing w:line="276" w:lineRule="auto"/>
        <w:ind w:firstLine="567"/>
        <w:contextualSpacing/>
        <w:jc w:val="both"/>
        <w:rPr>
          <w:sz w:val="28"/>
          <w:szCs w:val="28"/>
          <w:lang w:val="ru-RU"/>
        </w:rPr>
      </w:pPr>
      <w:r>
        <w:rPr>
          <w:sz w:val="28"/>
          <w:szCs w:val="28"/>
          <w:lang w:val="ru-RU"/>
        </w:rPr>
        <w:t>Границы зон затопления, подтопления, в соответствии с постановлением, определяются Федеральным агентством водных ресурсов на основании предложений органа исполнительной власти субъекта, подготовленных совместно с органами местного самоуправления, об определении границ зон затопления, подтопления.</w:t>
      </w:r>
    </w:p>
    <w:p w14:paraId="684BB7F8">
      <w:pPr>
        <w:spacing w:line="276" w:lineRule="auto"/>
        <w:ind w:firstLine="567"/>
        <w:contextualSpacing/>
        <w:jc w:val="both"/>
        <w:rPr>
          <w:sz w:val="28"/>
          <w:szCs w:val="28"/>
          <w:lang w:val="ru-RU"/>
        </w:rPr>
      </w:pPr>
      <w:r>
        <w:rPr>
          <w:sz w:val="28"/>
          <w:szCs w:val="28"/>
          <w:lang w:val="ru-RU"/>
        </w:rPr>
        <w:t>На территории субъекта исполнение постановления возложено на департамент агропромышленного комплекса и воспроизводства окружающей среды области. Департаментом организована и проводится работа по установлению зон затопления, подтопления на территории области.</w:t>
      </w:r>
    </w:p>
    <w:p w14:paraId="772503A7">
      <w:pPr>
        <w:spacing w:line="276" w:lineRule="auto"/>
        <w:ind w:firstLine="567"/>
        <w:contextualSpacing/>
        <w:jc w:val="both"/>
        <w:rPr>
          <w:sz w:val="28"/>
          <w:szCs w:val="28"/>
          <w:lang w:val="ru-RU"/>
        </w:rPr>
      </w:pPr>
      <w:r>
        <w:rPr>
          <w:sz w:val="28"/>
          <w:szCs w:val="28"/>
          <w:lang w:val="ru-RU"/>
        </w:rPr>
        <w:t>На основании пункта 6 «а» Постановления Правительства Российской Федерации от 18.04.2014 № 360 МЧС России согласовывает сведения о границах зон затопления, подтопления перед направлением его в Федеральное агентство водных ресурсов.</w:t>
      </w:r>
    </w:p>
    <w:p w14:paraId="4F4F801F">
      <w:pPr>
        <w:spacing w:line="276" w:lineRule="auto"/>
        <w:ind w:firstLine="567"/>
        <w:contextualSpacing/>
        <w:jc w:val="both"/>
        <w:rPr>
          <w:sz w:val="28"/>
          <w:szCs w:val="28"/>
          <w:lang w:val="ru-RU"/>
        </w:rPr>
      </w:pPr>
      <w:r>
        <w:rPr>
          <w:sz w:val="28"/>
          <w:szCs w:val="28"/>
          <w:lang w:val="ru-RU"/>
        </w:rPr>
        <w:t>Подтопление части территории Белгородской области происходит с периодичностью 1 раз в 5 лет. Подтопление населенных пунктов – 1 раз в 20 лет.</w:t>
      </w:r>
    </w:p>
    <w:p w14:paraId="35E92D6B">
      <w:pPr>
        <w:spacing w:line="276" w:lineRule="auto"/>
        <w:ind w:firstLine="567"/>
        <w:contextualSpacing/>
        <w:jc w:val="both"/>
        <w:rPr>
          <w:sz w:val="28"/>
          <w:szCs w:val="28"/>
          <w:lang w:val="ru-RU"/>
        </w:rPr>
      </w:pPr>
      <w:r>
        <w:rPr>
          <w:sz w:val="28"/>
          <w:szCs w:val="28"/>
          <w:lang w:val="ru-RU"/>
        </w:rPr>
        <w:t>Исходя из сведений по паводкообразующим параметрам на территории области риски возникновения чрезвычайных ситуаций, обусловленных неблагоприятным развитием паводковой обстановки на территории Белгородской области, не прогнозируется.</w:t>
      </w:r>
    </w:p>
    <w:p w14:paraId="7CBE10B1">
      <w:pPr>
        <w:spacing w:line="276" w:lineRule="auto"/>
        <w:ind w:firstLine="567"/>
        <w:contextualSpacing/>
        <w:jc w:val="both"/>
        <w:rPr>
          <w:sz w:val="28"/>
          <w:szCs w:val="28"/>
          <w:lang w:val="ru-RU"/>
        </w:rPr>
      </w:pPr>
      <w:r>
        <w:rPr>
          <w:sz w:val="28"/>
          <w:szCs w:val="28"/>
          <w:lang w:val="ru-RU"/>
        </w:rPr>
        <w:t>Согласно данным Главного управления, а также данным, содержащимся в проекте «Паспортизация населенных пунктов по предупреждению чрезвычайных ситуаций от затопления и подтопления на территории Белгородской области», департаментом агропромышленного комплекса и воспроизводства окружающей среды области сформирован перечень основных зон затопления, подтопления.</w:t>
      </w:r>
    </w:p>
    <w:p w14:paraId="6255CA5D">
      <w:pPr>
        <w:spacing w:line="276" w:lineRule="auto"/>
        <w:ind w:firstLine="567"/>
        <w:contextualSpacing/>
        <w:jc w:val="both"/>
        <w:rPr>
          <w:sz w:val="28"/>
          <w:szCs w:val="28"/>
          <w:lang w:val="ru-RU"/>
        </w:rPr>
      </w:pPr>
      <w:r>
        <w:rPr>
          <w:sz w:val="28"/>
          <w:szCs w:val="28"/>
          <w:lang w:val="ru-RU"/>
        </w:rPr>
        <w:t>Региональными властями определен график по установлению границ зон затопления, подтопления на территории Белгородской области. На данный момент установлены границы по трем зонам затопления 1%, сведения о которых содержатся в ЕГРН.</w:t>
      </w:r>
    </w:p>
    <w:p w14:paraId="57F266AF">
      <w:pPr>
        <w:spacing w:line="276" w:lineRule="auto"/>
        <w:ind w:firstLine="567"/>
        <w:contextualSpacing/>
        <w:jc w:val="both"/>
        <w:rPr>
          <w:sz w:val="28"/>
          <w:szCs w:val="28"/>
          <w:lang w:val="ru-RU"/>
        </w:rPr>
      </w:pPr>
      <w:r>
        <w:rPr>
          <w:sz w:val="28"/>
          <w:szCs w:val="28"/>
          <w:lang w:val="ru-RU"/>
        </w:rPr>
        <w:t>На территории села Сухарево отсутствуют пруды и реки. Гидротехнические сооружения не имеются.</w:t>
      </w:r>
    </w:p>
    <w:p w14:paraId="157887B0">
      <w:pPr>
        <w:spacing w:line="276" w:lineRule="auto"/>
        <w:ind w:firstLine="567"/>
        <w:contextualSpacing/>
        <w:jc w:val="both"/>
        <w:rPr>
          <w:sz w:val="28"/>
          <w:szCs w:val="28"/>
          <w:lang w:val="ru-RU"/>
        </w:rPr>
      </w:pPr>
    </w:p>
    <w:p w14:paraId="433CA987">
      <w:pPr>
        <w:keepNext/>
        <w:ind w:firstLine="720"/>
        <w:jc w:val="center"/>
        <w:rPr>
          <w:b/>
          <w:i/>
          <w:szCs w:val="28"/>
          <w:lang w:val="ru-RU"/>
        </w:rPr>
      </w:pPr>
      <w:r>
        <w:rPr>
          <w:b/>
          <w:i/>
          <w:szCs w:val="28"/>
          <w:lang w:val="ru-RU"/>
        </w:rPr>
        <w:t>Опасные метеорологические явления.</w:t>
      </w:r>
    </w:p>
    <w:p w14:paraId="1656AFC3">
      <w:pPr>
        <w:spacing w:line="276" w:lineRule="auto"/>
        <w:ind w:firstLine="567"/>
        <w:contextualSpacing/>
        <w:jc w:val="both"/>
        <w:rPr>
          <w:sz w:val="28"/>
          <w:szCs w:val="28"/>
          <w:lang w:val="ru-RU"/>
        </w:rPr>
      </w:pPr>
      <w:r>
        <w:rPr>
          <w:sz w:val="28"/>
          <w:szCs w:val="28"/>
          <w:lang w:val="ru-RU"/>
        </w:rPr>
        <w:t xml:space="preserve">К числу неблагоприятных климатических явлений в пределах села относятся сильный снегопад, метели, сильный ветер, гололед, заморозок. </w:t>
      </w:r>
    </w:p>
    <w:p w14:paraId="01EECE01">
      <w:pPr>
        <w:spacing w:line="276" w:lineRule="auto"/>
        <w:ind w:firstLine="567"/>
        <w:contextualSpacing/>
        <w:jc w:val="both"/>
        <w:rPr>
          <w:sz w:val="28"/>
          <w:szCs w:val="28"/>
          <w:lang w:val="ru-RU"/>
        </w:rPr>
      </w:pPr>
      <w:r>
        <w:rPr>
          <w:sz w:val="28"/>
          <w:szCs w:val="28"/>
          <w:lang w:val="ru-RU"/>
        </w:rPr>
        <w:t>Метеорологическое обеспечение осуществляется центром по гидрометеорологии и мониторингу окружающей среды.</w:t>
      </w:r>
    </w:p>
    <w:p w14:paraId="6D24B84F">
      <w:pPr>
        <w:spacing w:line="276" w:lineRule="auto"/>
        <w:ind w:firstLine="567"/>
        <w:contextualSpacing/>
        <w:jc w:val="both"/>
        <w:rPr>
          <w:sz w:val="28"/>
          <w:szCs w:val="28"/>
          <w:lang w:val="ru-RU"/>
        </w:rPr>
      </w:pPr>
      <w:r>
        <w:rPr>
          <w:sz w:val="28"/>
          <w:szCs w:val="28"/>
          <w:lang w:val="ru-RU"/>
        </w:rPr>
        <w:t>Климатические воздействия не представляют непосредственной опасности для жизни и здоровья населения. Однако они могут нанести ущерб зданиям, сооружениям и оборудованию, затруднить или приостановить технологические процессы, поэтому необходимо предусмотреть технические решения, направленные на максимальное снижение негативных воздействий природных явлений.</w:t>
      </w:r>
    </w:p>
    <w:p w14:paraId="15957608">
      <w:pPr>
        <w:spacing w:line="276" w:lineRule="auto"/>
        <w:ind w:firstLine="567"/>
        <w:contextualSpacing/>
        <w:jc w:val="both"/>
        <w:rPr>
          <w:sz w:val="28"/>
          <w:szCs w:val="28"/>
          <w:lang w:val="ru-RU"/>
        </w:rPr>
      </w:pPr>
      <w:r>
        <w:rPr>
          <w:sz w:val="28"/>
          <w:szCs w:val="28"/>
          <w:lang w:val="ru-RU"/>
        </w:rPr>
        <w:t>При сильном ветре существует вероятность повреждения воздушных линий связи, воздушных линий электропередачи, выхода из строя объектов жизнеобеспечения, разрушения легких построек.</w:t>
      </w:r>
    </w:p>
    <w:p w14:paraId="22CAC679">
      <w:pPr>
        <w:spacing w:line="276" w:lineRule="auto"/>
        <w:ind w:firstLine="567"/>
        <w:contextualSpacing/>
        <w:jc w:val="both"/>
        <w:rPr>
          <w:sz w:val="28"/>
          <w:szCs w:val="28"/>
          <w:lang w:val="ru-RU"/>
        </w:rPr>
      </w:pPr>
      <w:r>
        <w:rPr>
          <w:sz w:val="28"/>
          <w:szCs w:val="28"/>
          <w:lang w:val="ru-RU"/>
        </w:rPr>
        <w:t>Территория села относится ко второму ветровому району и третьему снеговому району. На территории риск сильных ветров и снеговых заносов характеризуется как ниже среднего.</w:t>
      </w:r>
    </w:p>
    <w:p w14:paraId="0B82E1BC">
      <w:pPr>
        <w:spacing w:line="276" w:lineRule="auto"/>
        <w:ind w:firstLine="567"/>
        <w:contextualSpacing/>
        <w:jc w:val="both"/>
        <w:rPr>
          <w:sz w:val="28"/>
          <w:szCs w:val="28"/>
          <w:lang w:val="ru-RU"/>
        </w:rPr>
      </w:pPr>
      <w:r>
        <w:rPr>
          <w:sz w:val="28"/>
          <w:szCs w:val="28"/>
          <w:lang w:val="ru-RU"/>
        </w:rPr>
        <w:t>При выпадении крупного града существует вероятность возникновения ЧС, связанных с повреждением автотранспорта и разрушением крыш строений, уничтожением растительности.</w:t>
      </w:r>
    </w:p>
    <w:p w14:paraId="4FF7DC67">
      <w:pPr>
        <w:keepNext/>
        <w:ind w:firstLine="720"/>
        <w:jc w:val="center"/>
        <w:rPr>
          <w:b/>
          <w:i/>
          <w:szCs w:val="28"/>
          <w:lang w:val="ru-RU"/>
        </w:rPr>
      </w:pPr>
      <w:r>
        <w:rPr>
          <w:b/>
          <w:i/>
          <w:szCs w:val="28"/>
          <w:lang w:val="ru-RU"/>
        </w:rPr>
        <w:t>Природные (Лесные) пожары.</w:t>
      </w:r>
    </w:p>
    <w:p w14:paraId="0703FE8F">
      <w:pPr>
        <w:spacing w:line="276" w:lineRule="auto"/>
        <w:ind w:firstLine="567"/>
        <w:contextualSpacing/>
        <w:jc w:val="both"/>
        <w:rPr>
          <w:sz w:val="28"/>
          <w:szCs w:val="28"/>
          <w:lang w:val="ru-RU"/>
        </w:rPr>
      </w:pPr>
      <w:r>
        <w:rPr>
          <w:sz w:val="28"/>
          <w:szCs w:val="28"/>
          <w:lang w:val="ru-RU"/>
        </w:rPr>
        <w:t>Планы тушения лесничеств и сводный план тушения лесных пожаров на планируемой территории утверждены установленным порядком. Сводный план утвержден ВрИО Губернатора области 25.02.2021 года.</w:t>
      </w:r>
    </w:p>
    <w:p w14:paraId="56542A09">
      <w:pPr>
        <w:spacing w:line="276" w:lineRule="auto"/>
        <w:ind w:firstLine="567"/>
        <w:contextualSpacing/>
        <w:jc w:val="both"/>
        <w:rPr>
          <w:sz w:val="28"/>
          <w:szCs w:val="28"/>
          <w:lang w:val="ru-RU"/>
        </w:rPr>
      </w:pPr>
      <w:r>
        <w:rPr>
          <w:sz w:val="28"/>
          <w:szCs w:val="28"/>
          <w:lang w:val="ru-RU"/>
        </w:rPr>
        <w:t>Общая площадь лесов на территории Валуйского муниципального округа составляет 20 163,0 га</w:t>
      </w:r>
    </w:p>
    <w:p w14:paraId="38E8FD72">
      <w:pPr>
        <w:spacing w:line="276" w:lineRule="auto"/>
        <w:ind w:firstLine="567"/>
        <w:contextualSpacing/>
        <w:jc w:val="both"/>
        <w:rPr>
          <w:sz w:val="28"/>
          <w:szCs w:val="28"/>
          <w:lang w:val="ru-RU"/>
        </w:rPr>
      </w:pPr>
      <w:r>
        <w:rPr>
          <w:sz w:val="28"/>
          <w:szCs w:val="28"/>
          <w:lang w:val="ru-RU"/>
        </w:rPr>
        <w:t xml:space="preserve">Основными условиями, определяющими горимость лесов, являются погодные условия, рельеф местности, а также наличие горючего материала в границах лесных насаждений. С учётом климатической характеристики и расположения территории округа, пожароопасный сезон начинается в первой декаде апреля и продолжается до ноября. </w:t>
      </w:r>
    </w:p>
    <w:p w14:paraId="6993912D">
      <w:pPr>
        <w:spacing w:line="276" w:lineRule="auto"/>
        <w:ind w:firstLine="567"/>
        <w:contextualSpacing/>
        <w:jc w:val="both"/>
        <w:rPr>
          <w:sz w:val="28"/>
          <w:szCs w:val="28"/>
          <w:lang w:val="ru-RU"/>
        </w:rPr>
      </w:pPr>
      <w:r>
        <w:rPr>
          <w:sz w:val="28"/>
          <w:szCs w:val="28"/>
          <w:lang w:val="ru-RU"/>
        </w:rPr>
        <w:t>В рамках контроля, предупреждения, выявления и пресечения нарушений требований пожарной безопасности с марта 2021 года организованы профилактические рейдовые осмотры (обследования), патрулирование территорий (514 совместными группами в составе более 1,3 тыс. представителей по более 500 маршрутам общей протяженностью более 850 км) сотрудниками Главного управления, полиции, лесничеств, администраций муниципальных образований, природоохранных и экологических служб, органов государственного земельного надзора, муниципального земельного контроля, добровольной пожарной охраны.</w:t>
      </w:r>
    </w:p>
    <w:p w14:paraId="1F5EF2EB">
      <w:pPr>
        <w:spacing w:line="276" w:lineRule="auto"/>
        <w:ind w:firstLine="567"/>
        <w:contextualSpacing/>
        <w:jc w:val="both"/>
        <w:rPr>
          <w:sz w:val="28"/>
          <w:szCs w:val="28"/>
          <w:lang w:val="ru-RU"/>
        </w:rPr>
      </w:pPr>
      <w:r>
        <w:rPr>
          <w:sz w:val="28"/>
          <w:szCs w:val="28"/>
          <w:lang w:val="ru-RU"/>
        </w:rPr>
        <w:t>Кроме этого, в соответствии с планом тушения лесных пожаров определен порядок привлечения пожарных подразделений Главного управления МЧС России по Белгородской области, а также муниципальных организаций различных форм собственности.</w:t>
      </w:r>
    </w:p>
    <w:p w14:paraId="67727B0D">
      <w:pPr>
        <w:spacing w:line="276" w:lineRule="auto"/>
        <w:ind w:firstLine="567"/>
        <w:contextualSpacing/>
        <w:jc w:val="both"/>
        <w:rPr>
          <w:sz w:val="28"/>
          <w:szCs w:val="28"/>
          <w:lang w:val="ru-RU"/>
        </w:rPr>
      </w:pPr>
      <w:r>
        <w:rPr>
          <w:sz w:val="28"/>
          <w:szCs w:val="28"/>
          <w:lang w:val="ru-RU"/>
        </w:rPr>
        <w:t>Утвержден перечень населенных пунктов, подверженных угрозе распространения лесных пожаров и непосредственно граничащих с лесными участками на территории Белгородской области. Валуйский муниципальный округ в данном перечне присутствует.</w:t>
      </w:r>
    </w:p>
    <w:p w14:paraId="03D2DA4F">
      <w:pPr>
        <w:spacing w:line="276" w:lineRule="auto"/>
        <w:ind w:firstLine="567"/>
        <w:contextualSpacing/>
        <w:jc w:val="both"/>
        <w:rPr>
          <w:sz w:val="28"/>
          <w:szCs w:val="28"/>
          <w:lang w:val="ru-RU"/>
        </w:rPr>
      </w:pPr>
      <w:r>
        <w:rPr>
          <w:sz w:val="28"/>
          <w:szCs w:val="28"/>
          <w:lang w:val="ru-RU"/>
        </w:rPr>
        <w:t>В Перечень населенных пунктов Валуйского муниципального округа, подверженных угрозе лесных пожаров (примыкающих к хвойному (смешанному) лесному участку либо при наличии на землях (территории) хвойного (смешанного) леса) село Сухарево не входит.</w:t>
      </w:r>
    </w:p>
    <w:p w14:paraId="1D08521A">
      <w:pPr>
        <w:spacing w:line="276" w:lineRule="auto"/>
        <w:contextualSpacing/>
        <w:jc w:val="both"/>
        <w:rPr>
          <w:sz w:val="28"/>
          <w:szCs w:val="28"/>
          <w:lang w:val="ru-RU"/>
        </w:rPr>
      </w:pPr>
    </w:p>
    <w:p w14:paraId="2FB0A006">
      <w:pPr>
        <w:spacing w:line="276" w:lineRule="auto"/>
        <w:ind w:firstLine="567"/>
        <w:contextualSpacing/>
        <w:jc w:val="both"/>
        <w:rPr>
          <w:sz w:val="28"/>
          <w:szCs w:val="28"/>
          <w:lang w:val="ru-RU"/>
        </w:rPr>
      </w:pPr>
      <w:r>
        <w:rPr>
          <w:sz w:val="28"/>
          <w:szCs w:val="28"/>
          <w:lang w:val="ru-RU"/>
        </w:rPr>
        <w:t>Пожароопасный сезон устанавливается со дня схода снежного покрова до установления устойчивой дождливой осенней погоды или образования снежного покрова.</w:t>
      </w:r>
    </w:p>
    <w:p w14:paraId="79EDE538">
      <w:pPr>
        <w:spacing w:line="276" w:lineRule="auto"/>
        <w:ind w:firstLine="567"/>
        <w:contextualSpacing/>
        <w:jc w:val="both"/>
        <w:rPr>
          <w:sz w:val="28"/>
          <w:szCs w:val="28"/>
          <w:lang w:val="ru-RU"/>
        </w:rPr>
      </w:pPr>
      <w:r>
        <w:rPr>
          <w:sz w:val="28"/>
          <w:szCs w:val="28"/>
          <w:lang w:val="ru-RU"/>
        </w:rPr>
        <w:t xml:space="preserve">За период с начала 2020 года на территории Валуйского муниципального округа лесных пожаров не произошло. </w:t>
      </w:r>
    </w:p>
    <w:p w14:paraId="62DAA300">
      <w:pPr>
        <w:spacing w:line="276" w:lineRule="auto"/>
        <w:ind w:firstLine="567"/>
        <w:contextualSpacing/>
        <w:jc w:val="both"/>
        <w:rPr>
          <w:sz w:val="28"/>
          <w:szCs w:val="28"/>
          <w:lang w:val="ru-RU"/>
        </w:rPr>
      </w:pPr>
      <w:r>
        <w:rPr>
          <w:sz w:val="28"/>
          <w:szCs w:val="28"/>
          <w:lang w:val="ru-RU"/>
        </w:rPr>
        <w:t>Постановлением Правительства Российской Федерации от 30.06.2007 № 417 «Об утверждении правил пожарной безопасности в лесах», определены меры пожарной безопасности в лесах, включающие в себя:</w:t>
      </w:r>
    </w:p>
    <w:p w14:paraId="0E782A93">
      <w:pPr>
        <w:spacing w:line="276" w:lineRule="auto"/>
        <w:ind w:firstLine="567"/>
        <w:contextualSpacing/>
        <w:jc w:val="both"/>
        <w:rPr>
          <w:sz w:val="28"/>
          <w:szCs w:val="28"/>
          <w:lang w:val="ru-RU"/>
        </w:rPr>
      </w:pPr>
      <w:r>
        <w:rPr>
          <w:sz w:val="28"/>
          <w:szCs w:val="28"/>
          <w:lang w:val="ru-RU"/>
        </w:rPr>
        <w:t>– предупреждение лесных пожаров (противопожарное обустройство лесов и обеспечение средствами предупреждения и тушения лесных пожаров);</w:t>
      </w:r>
    </w:p>
    <w:p w14:paraId="2DB114EF">
      <w:pPr>
        <w:spacing w:line="276" w:lineRule="auto"/>
        <w:ind w:firstLine="567"/>
        <w:contextualSpacing/>
        <w:jc w:val="both"/>
        <w:rPr>
          <w:sz w:val="28"/>
          <w:szCs w:val="28"/>
          <w:lang w:val="ru-RU"/>
        </w:rPr>
      </w:pPr>
      <w:r>
        <w:rPr>
          <w:sz w:val="28"/>
          <w:szCs w:val="28"/>
          <w:lang w:val="ru-RU"/>
        </w:rPr>
        <w:t>– мониторинг пожарной опасности в лесах и лесных пожаров;</w:t>
      </w:r>
    </w:p>
    <w:p w14:paraId="686CF020">
      <w:pPr>
        <w:spacing w:line="276" w:lineRule="auto"/>
        <w:ind w:firstLine="567"/>
        <w:contextualSpacing/>
        <w:jc w:val="both"/>
        <w:rPr>
          <w:sz w:val="28"/>
          <w:szCs w:val="28"/>
          <w:lang w:val="ru-RU"/>
        </w:rPr>
      </w:pPr>
      <w:r>
        <w:rPr>
          <w:sz w:val="28"/>
          <w:szCs w:val="28"/>
          <w:lang w:val="ru-RU"/>
        </w:rPr>
        <w:t>– разработку и утверждение планов тушения лесных пожаров;</w:t>
      </w:r>
    </w:p>
    <w:p w14:paraId="0D3471F2">
      <w:pPr>
        <w:spacing w:line="276" w:lineRule="auto"/>
        <w:ind w:firstLine="567"/>
        <w:contextualSpacing/>
        <w:jc w:val="both"/>
        <w:rPr>
          <w:sz w:val="28"/>
          <w:szCs w:val="28"/>
          <w:lang w:val="ru-RU"/>
        </w:rPr>
      </w:pPr>
      <w:r>
        <w:rPr>
          <w:sz w:val="28"/>
          <w:szCs w:val="28"/>
          <w:lang w:val="ru-RU"/>
        </w:rPr>
        <w:t>– иные меры пожарной безопасности в лесах.</w:t>
      </w:r>
    </w:p>
    <w:p w14:paraId="66780037">
      <w:pPr>
        <w:spacing w:line="276" w:lineRule="auto"/>
        <w:ind w:firstLine="567"/>
        <w:contextualSpacing/>
        <w:jc w:val="both"/>
        <w:rPr>
          <w:sz w:val="28"/>
          <w:szCs w:val="28"/>
          <w:lang w:val="ru-RU"/>
        </w:rPr>
      </w:pPr>
      <w:r>
        <w:rPr>
          <w:sz w:val="28"/>
          <w:szCs w:val="28"/>
          <w:lang w:val="ru-RU"/>
        </w:rPr>
        <w:t>Требования к мерам пожарной безопасности в лесах являются обязательными для исполнения органами государственной власти, органами местного самоуправления, а также юридическими лицами и гражданами.</w:t>
      </w:r>
    </w:p>
    <w:p w14:paraId="2E104908">
      <w:pPr>
        <w:spacing w:line="276" w:lineRule="auto"/>
        <w:ind w:firstLine="567"/>
        <w:contextualSpacing/>
        <w:jc w:val="both"/>
        <w:rPr>
          <w:sz w:val="28"/>
          <w:szCs w:val="28"/>
          <w:lang w:val="ru-RU"/>
        </w:rPr>
      </w:pPr>
      <w:r>
        <w:rPr>
          <w:sz w:val="28"/>
          <w:szCs w:val="28"/>
          <w:lang w:val="ru-RU"/>
        </w:rPr>
        <w:t>Чрезвычайными ситуациями природного характера, характерными для села Сухарево, могут быть:</w:t>
      </w:r>
    </w:p>
    <w:p w14:paraId="04F62330">
      <w:pPr>
        <w:pStyle w:val="50"/>
        <w:widowControl/>
        <w:numPr>
          <w:ilvl w:val="0"/>
          <w:numId w:val="10"/>
        </w:numPr>
        <w:autoSpaceDE/>
        <w:autoSpaceDN/>
        <w:spacing w:after="200" w:line="276" w:lineRule="auto"/>
        <w:contextualSpacing/>
        <w:jc w:val="both"/>
        <w:rPr>
          <w:sz w:val="28"/>
          <w:szCs w:val="28"/>
          <w:lang w:val="ru-RU"/>
        </w:rPr>
      </w:pPr>
      <w:r>
        <w:rPr>
          <w:sz w:val="28"/>
          <w:szCs w:val="28"/>
          <w:lang w:val="ru-RU"/>
        </w:rPr>
        <w:t>возможная засуха в летний период;</w:t>
      </w:r>
    </w:p>
    <w:p w14:paraId="6C8B1002">
      <w:pPr>
        <w:pStyle w:val="50"/>
        <w:widowControl/>
        <w:numPr>
          <w:ilvl w:val="0"/>
          <w:numId w:val="10"/>
        </w:numPr>
        <w:autoSpaceDE/>
        <w:autoSpaceDN/>
        <w:spacing w:after="200" w:line="276" w:lineRule="auto"/>
        <w:contextualSpacing/>
        <w:jc w:val="both"/>
        <w:rPr>
          <w:sz w:val="28"/>
          <w:szCs w:val="28"/>
          <w:lang w:val="ru-RU"/>
        </w:rPr>
      </w:pPr>
      <w:r>
        <w:rPr>
          <w:sz w:val="28"/>
          <w:szCs w:val="28"/>
          <w:lang w:val="ru-RU"/>
        </w:rPr>
        <w:t>в зимний период обледенение на электролиниях;</w:t>
      </w:r>
    </w:p>
    <w:p w14:paraId="30050411">
      <w:pPr>
        <w:pStyle w:val="50"/>
        <w:widowControl/>
        <w:numPr>
          <w:ilvl w:val="0"/>
          <w:numId w:val="10"/>
        </w:numPr>
        <w:autoSpaceDE/>
        <w:autoSpaceDN/>
        <w:spacing w:after="200" w:line="276" w:lineRule="auto"/>
        <w:contextualSpacing/>
        <w:jc w:val="both"/>
        <w:rPr>
          <w:sz w:val="28"/>
          <w:szCs w:val="28"/>
          <w:lang w:val="ru-RU"/>
        </w:rPr>
      </w:pPr>
      <w:r>
        <w:rPr>
          <w:sz w:val="28"/>
          <w:szCs w:val="28"/>
          <w:lang w:val="ru-RU"/>
        </w:rPr>
        <w:t>в весенний период паводок, при наличии большого снежного покрова или сильных дождей.</w:t>
      </w:r>
    </w:p>
    <w:p w14:paraId="1EAC131D">
      <w:pPr>
        <w:spacing w:line="276" w:lineRule="auto"/>
        <w:ind w:firstLine="567"/>
        <w:contextualSpacing/>
        <w:jc w:val="both"/>
        <w:rPr>
          <w:sz w:val="28"/>
          <w:szCs w:val="28"/>
          <w:lang w:val="ru-RU"/>
        </w:rPr>
      </w:pPr>
      <w:r>
        <w:rPr>
          <w:sz w:val="28"/>
          <w:szCs w:val="28"/>
          <w:lang w:val="ru-RU"/>
        </w:rPr>
        <w:t>В 2020-2024 гг чрезвычайных ситуаций природного характера не было.</w:t>
      </w:r>
    </w:p>
    <w:p w14:paraId="7C3D933B">
      <w:pPr>
        <w:spacing w:line="276" w:lineRule="auto"/>
        <w:ind w:firstLine="567"/>
        <w:contextualSpacing/>
        <w:jc w:val="both"/>
        <w:rPr>
          <w:sz w:val="28"/>
          <w:szCs w:val="28"/>
          <w:lang w:val="ru-RU"/>
        </w:rPr>
      </w:pPr>
      <w:r>
        <w:rPr>
          <w:sz w:val="28"/>
          <w:szCs w:val="28"/>
          <w:lang w:val="ru-RU"/>
        </w:rPr>
        <w:t>Аварийные службы района своевременно устраняют возникающие сложные ситуации.</w:t>
      </w:r>
    </w:p>
    <w:p w14:paraId="31C62289">
      <w:pPr>
        <w:pStyle w:val="3"/>
        <w:numPr>
          <w:ilvl w:val="1"/>
          <w:numId w:val="6"/>
        </w:numPr>
        <w:shd w:val="clear" w:color="auto" w:fill="FFFFFF"/>
        <w:spacing w:before="240" w:after="240" w:line="317" w:lineRule="exact"/>
        <w:ind w:left="0" w:firstLine="284"/>
        <w:jc w:val="center"/>
        <w:rPr>
          <w:rFonts w:ascii="Times New Roman" w:hAnsi="Times New Roman"/>
          <w:color w:val="FF0000"/>
          <w:sz w:val="28"/>
          <w:lang w:val="ru-RU"/>
        </w:rPr>
      </w:pPr>
      <w:r>
        <w:rPr>
          <w:rFonts w:ascii="Times New Roman" w:hAnsi="Times New Roman"/>
          <w:color w:val="auto"/>
          <w:sz w:val="28"/>
          <w:lang w:val="ru-RU"/>
        </w:rPr>
        <w:t>Перечень возможных источников ЧС биолого-социального характера</w:t>
      </w:r>
    </w:p>
    <w:p w14:paraId="68A45B8D">
      <w:pPr>
        <w:spacing w:line="276" w:lineRule="auto"/>
        <w:ind w:firstLine="567"/>
        <w:contextualSpacing/>
        <w:jc w:val="both"/>
        <w:rPr>
          <w:i/>
          <w:sz w:val="28"/>
          <w:szCs w:val="28"/>
          <w:lang w:val="ru-RU"/>
        </w:rPr>
      </w:pPr>
      <w:bookmarkStart w:id="21" w:name="bookmark3"/>
      <w:r>
        <w:rPr>
          <w:i/>
          <w:sz w:val="28"/>
          <w:szCs w:val="28"/>
          <w:lang w:val="ru-RU"/>
        </w:rPr>
        <w:t>Перечень факторов риска возникновения ЧС биолого-социального характера:</w:t>
      </w:r>
    </w:p>
    <w:p w14:paraId="1B4E6AEF">
      <w:pPr>
        <w:pStyle w:val="50"/>
        <w:widowControl/>
        <w:numPr>
          <w:ilvl w:val="0"/>
          <w:numId w:val="11"/>
        </w:numPr>
        <w:autoSpaceDE/>
        <w:autoSpaceDN/>
        <w:spacing w:after="200" w:line="276" w:lineRule="auto"/>
        <w:contextualSpacing/>
        <w:jc w:val="both"/>
        <w:rPr>
          <w:sz w:val="28"/>
          <w:szCs w:val="28"/>
          <w:lang w:val="ru-RU"/>
        </w:rPr>
      </w:pPr>
      <w:r>
        <w:rPr>
          <w:sz w:val="28"/>
          <w:szCs w:val="28"/>
          <w:lang w:val="ru-RU"/>
        </w:rPr>
        <w:t>инфекционные заболевания, острые респираторные заболевания, заболевания гриппом, клещевым энцефалитом (носящие очаговый характер без признаков эпидемии);</w:t>
      </w:r>
    </w:p>
    <w:p w14:paraId="0ACBDEFA">
      <w:pPr>
        <w:pStyle w:val="50"/>
        <w:widowControl/>
        <w:numPr>
          <w:ilvl w:val="0"/>
          <w:numId w:val="11"/>
        </w:numPr>
        <w:autoSpaceDE/>
        <w:autoSpaceDN/>
        <w:spacing w:after="200" w:line="276" w:lineRule="auto"/>
        <w:contextualSpacing/>
        <w:jc w:val="both"/>
        <w:rPr>
          <w:sz w:val="28"/>
          <w:szCs w:val="28"/>
          <w:lang w:val="ru-RU"/>
        </w:rPr>
      </w:pPr>
      <w:r>
        <w:rPr>
          <w:sz w:val="28"/>
          <w:szCs w:val="28"/>
          <w:lang w:val="ru-RU"/>
        </w:rPr>
        <w:t>инфекционные, паразитарные и зоонозные заболевания животных и птицы; заболевания животных бешенством;</w:t>
      </w:r>
    </w:p>
    <w:p w14:paraId="6CA9232E">
      <w:pPr>
        <w:pStyle w:val="50"/>
        <w:widowControl/>
        <w:numPr>
          <w:ilvl w:val="0"/>
          <w:numId w:val="11"/>
        </w:numPr>
        <w:autoSpaceDE/>
        <w:autoSpaceDN/>
        <w:spacing w:after="200" w:line="276" w:lineRule="auto"/>
        <w:contextualSpacing/>
        <w:jc w:val="both"/>
        <w:rPr>
          <w:sz w:val="28"/>
          <w:szCs w:val="28"/>
          <w:lang w:val="ru-RU"/>
        </w:rPr>
      </w:pPr>
      <w:r>
        <w:rPr>
          <w:sz w:val="28"/>
          <w:szCs w:val="28"/>
          <w:lang w:val="ru-RU"/>
        </w:rPr>
        <w:t>опасные болезни и вредители сельскохозяйственных растений и леса.</w:t>
      </w:r>
    </w:p>
    <w:p w14:paraId="38E03D17">
      <w:pPr>
        <w:spacing w:line="276" w:lineRule="auto"/>
        <w:ind w:firstLine="567"/>
        <w:contextualSpacing/>
        <w:jc w:val="both"/>
        <w:rPr>
          <w:color w:val="FF0000"/>
          <w:sz w:val="28"/>
          <w:szCs w:val="28"/>
          <w:lang w:val="ru-RU"/>
        </w:rPr>
      </w:pPr>
      <w:r>
        <w:rPr>
          <w:sz w:val="28"/>
          <w:szCs w:val="28"/>
          <w:lang w:val="ru-RU"/>
        </w:rPr>
        <w:t>В соответствии с требованиями по статистическому учету чрезвычайных ситуаций, утвержденных приказом МЧС России от 08.07.2004 года №329 «Об утверждении критериев информации о чрезвычайных ситуациях» на территории Валуйского муниципального округа Белгородской области в период с 2020 - 2024 годы биолого-социальных чрезвычайных ситуаций, связанных с инфекционными, паразитарными болезнями и отравлениями людей не зарегистрировано.</w:t>
      </w:r>
    </w:p>
    <w:p w14:paraId="5684E5DB">
      <w:pPr>
        <w:spacing w:line="276" w:lineRule="auto"/>
        <w:ind w:firstLine="567"/>
        <w:contextualSpacing/>
        <w:jc w:val="both"/>
        <w:rPr>
          <w:sz w:val="28"/>
          <w:szCs w:val="28"/>
          <w:lang w:val="ru-RU"/>
        </w:rPr>
      </w:pPr>
      <w:r>
        <w:rPr>
          <w:sz w:val="28"/>
          <w:szCs w:val="28"/>
          <w:lang w:val="ru-RU"/>
        </w:rPr>
        <w:t>Основными вредителями сельскохозяйственных растений являются мелкие грызуны, клоп-черепашка, бурая ржавчина. В 2022 году проводилась активная работа по их ликвидации и обезвреживанию, вследствие чего катастрофических повреждений сельскохозяйственных растений не было, и ситуация оценивается как благополучная.</w:t>
      </w:r>
    </w:p>
    <w:p w14:paraId="5DD2B36F">
      <w:pPr>
        <w:spacing w:line="276" w:lineRule="auto"/>
        <w:ind w:firstLine="567"/>
        <w:contextualSpacing/>
        <w:jc w:val="both"/>
        <w:rPr>
          <w:sz w:val="28"/>
          <w:szCs w:val="28"/>
          <w:lang w:val="ru-RU"/>
        </w:rPr>
      </w:pPr>
      <w:r>
        <w:rPr>
          <w:sz w:val="28"/>
          <w:szCs w:val="28"/>
          <w:lang w:val="ru-RU"/>
        </w:rPr>
        <w:t>В соответствии с информацией, предоставленной Управлением ветеринарии Белгородской области от 22.02.2019 года, на территории села Сухарево скотомогильники отсутствуют.</w:t>
      </w:r>
    </w:p>
    <w:p w14:paraId="063EAF8F">
      <w:pPr>
        <w:spacing w:line="276" w:lineRule="auto"/>
        <w:ind w:firstLine="567"/>
        <w:contextualSpacing/>
        <w:jc w:val="both"/>
        <w:rPr>
          <w:color w:val="FF0000"/>
          <w:sz w:val="28"/>
          <w:szCs w:val="28"/>
          <w:lang w:val="ru-RU"/>
        </w:rPr>
      </w:pPr>
    </w:p>
    <w:p w14:paraId="5E7D4F86">
      <w:pPr>
        <w:spacing w:line="276" w:lineRule="auto"/>
        <w:ind w:firstLine="567"/>
        <w:contextualSpacing/>
        <w:jc w:val="both"/>
        <w:rPr>
          <w:sz w:val="28"/>
          <w:szCs w:val="28"/>
          <w:lang w:val="ru-RU"/>
        </w:rPr>
      </w:pPr>
      <w:r>
        <w:rPr>
          <w:sz w:val="28"/>
          <w:szCs w:val="28"/>
          <w:lang w:val="ru-RU"/>
        </w:rPr>
        <w:t>В 2022-2024 году силы и средства к ликвидации биолого-социальных ЧС на территории села Сухарево не привлекались.</w:t>
      </w:r>
    </w:p>
    <w:p w14:paraId="2966D9D6">
      <w:pPr>
        <w:spacing w:line="276" w:lineRule="auto"/>
        <w:ind w:firstLine="567"/>
        <w:contextualSpacing/>
        <w:jc w:val="both"/>
        <w:rPr>
          <w:sz w:val="28"/>
          <w:szCs w:val="28"/>
          <w:lang w:val="ru-RU"/>
        </w:rPr>
      </w:pPr>
    </w:p>
    <w:p w14:paraId="3FEAC9E2">
      <w:pPr>
        <w:spacing w:line="360" w:lineRule="auto"/>
        <w:contextualSpacing/>
        <w:jc w:val="center"/>
        <w:rPr>
          <w:i/>
          <w:sz w:val="28"/>
          <w:szCs w:val="28"/>
          <w:lang w:val="ru-RU"/>
        </w:rPr>
      </w:pPr>
      <w:r>
        <w:rPr>
          <w:i/>
          <w:sz w:val="28"/>
          <w:szCs w:val="28"/>
          <w:lang w:val="ru-RU"/>
        </w:rPr>
        <w:t>Эпидемии</w:t>
      </w:r>
      <w:bookmarkEnd w:id="21"/>
      <w:r>
        <w:rPr>
          <w:i/>
          <w:sz w:val="28"/>
          <w:szCs w:val="28"/>
          <w:lang w:val="ru-RU"/>
        </w:rPr>
        <w:t xml:space="preserve"> </w:t>
      </w:r>
    </w:p>
    <w:p w14:paraId="66A2030D">
      <w:pPr>
        <w:spacing w:line="360" w:lineRule="auto"/>
        <w:contextualSpacing/>
        <w:rPr>
          <w:b/>
          <w:sz w:val="24"/>
          <w:szCs w:val="24"/>
          <w:lang w:val="ru-RU"/>
        </w:rPr>
      </w:pPr>
      <w:r>
        <w:rPr>
          <w:b/>
          <w:sz w:val="24"/>
          <w:szCs w:val="24"/>
          <w:lang w:val="ru-RU"/>
        </w:rPr>
        <w:t xml:space="preserve">Сведения о массовых инфекционных, паразитных заболеваниях </w:t>
      </w:r>
      <w:r>
        <w:rPr>
          <w:b/>
          <w:sz w:val="24"/>
          <w:szCs w:val="24"/>
          <w:lang w:val="ru-RU"/>
        </w:rPr>
        <w:tab/>
      </w:r>
      <w:r>
        <w:rPr>
          <w:b/>
          <w:sz w:val="24"/>
          <w:szCs w:val="24"/>
          <w:lang w:val="ru-RU"/>
        </w:rPr>
        <w:t xml:space="preserve">и отравлениях людей </w:t>
      </w:r>
    </w:p>
    <w:tbl>
      <w:tblPr>
        <w:tblStyle w:val="11"/>
        <w:tblW w:w="0" w:type="auto"/>
        <w:tblInd w:w="-1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20"/>
        <w:gridCol w:w="873"/>
        <w:gridCol w:w="724"/>
        <w:gridCol w:w="915"/>
        <w:gridCol w:w="885"/>
        <w:gridCol w:w="930"/>
        <w:gridCol w:w="825"/>
        <w:gridCol w:w="1002"/>
        <w:gridCol w:w="1080"/>
      </w:tblGrid>
      <w:tr w14:paraId="0BC243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230" w:hRule="atLeast"/>
        </w:trPr>
        <w:tc>
          <w:tcPr>
            <w:tcW w:w="2820" w:type="dxa"/>
            <w:vMerge w:val="restart"/>
          </w:tcPr>
          <w:p w14:paraId="5A418713">
            <w:pPr>
              <w:jc w:val="center"/>
              <w:rPr>
                <w:b/>
                <w:sz w:val="20"/>
                <w:szCs w:val="20"/>
              </w:rPr>
            </w:pPr>
            <w:r>
              <w:rPr>
                <w:b/>
                <w:sz w:val="20"/>
                <w:szCs w:val="20"/>
              </w:rPr>
              <w:t>Заболевания</w:t>
            </w:r>
          </w:p>
          <w:p w14:paraId="2C7A88B6">
            <w:pPr>
              <w:jc w:val="center"/>
              <w:rPr>
                <w:b/>
                <w:sz w:val="20"/>
                <w:szCs w:val="20"/>
              </w:rPr>
            </w:pPr>
            <w:r>
              <w:rPr>
                <w:b/>
                <w:sz w:val="20"/>
                <w:szCs w:val="20"/>
              </w:rPr>
              <w:t>и отравления людей</w:t>
            </w:r>
          </w:p>
        </w:tc>
        <w:tc>
          <w:tcPr>
            <w:tcW w:w="1597" w:type="dxa"/>
            <w:gridSpan w:val="2"/>
            <w:vMerge w:val="restart"/>
          </w:tcPr>
          <w:p w14:paraId="14F0A9AD">
            <w:pPr>
              <w:spacing w:line="192" w:lineRule="auto"/>
              <w:ind w:hanging="43"/>
              <w:jc w:val="center"/>
              <w:rPr>
                <w:b/>
                <w:sz w:val="20"/>
                <w:szCs w:val="20"/>
              </w:rPr>
            </w:pPr>
            <w:r>
              <w:rPr>
                <w:b/>
                <w:sz w:val="20"/>
                <w:szCs w:val="20"/>
              </w:rPr>
              <w:t>Количество</w:t>
            </w:r>
          </w:p>
          <w:p w14:paraId="0ABD5BA6">
            <w:pPr>
              <w:spacing w:line="192" w:lineRule="auto"/>
              <w:ind w:hanging="43"/>
              <w:jc w:val="center"/>
              <w:rPr>
                <w:b/>
                <w:sz w:val="20"/>
                <w:szCs w:val="20"/>
              </w:rPr>
            </w:pPr>
            <w:r>
              <w:rPr>
                <w:b/>
                <w:sz w:val="20"/>
                <w:szCs w:val="20"/>
              </w:rPr>
              <w:t>групповых</w:t>
            </w:r>
          </w:p>
          <w:p w14:paraId="60A8505E">
            <w:pPr>
              <w:spacing w:line="192" w:lineRule="auto"/>
              <w:ind w:hanging="43"/>
              <w:jc w:val="center"/>
              <w:rPr>
                <w:b/>
                <w:sz w:val="20"/>
                <w:szCs w:val="20"/>
              </w:rPr>
            </w:pPr>
            <w:r>
              <w:rPr>
                <w:b/>
                <w:sz w:val="20"/>
                <w:szCs w:val="20"/>
              </w:rPr>
              <w:t xml:space="preserve">заболеваний, ед. </w:t>
            </w:r>
          </w:p>
        </w:tc>
        <w:tc>
          <w:tcPr>
            <w:tcW w:w="1800" w:type="dxa"/>
            <w:gridSpan w:val="2"/>
            <w:vMerge w:val="restart"/>
          </w:tcPr>
          <w:p w14:paraId="0AED793B">
            <w:pPr>
              <w:spacing w:line="192" w:lineRule="auto"/>
              <w:jc w:val="center"/>
              <w:rPr>
                <w:b/>
                <w:sz w:val="20"/>
                <w:szCs w:val="20"/>
              </w:rPr>
            </w:pPr>
            <w:r>
              <w:rPr>
                <w:b/>
                <w:sz w:val="20"/>
                <w:szCs w:val="20"/>
              </w:rPr>
              <w:t>Количество</w:t>
            </w:r>
          </w:p>
          <w:p w14:paraId="0DDC20F4">
            <w:pPr>
              <w:spacing w:line="192" w:lineRule="auto"/>
              <w:jc w:val="center"/>
              <w:rPr>
                <w:b/>
                <w:sz w:val="20"/>
                <w:szCs w:val="20"/>
              </w:rPr>
            </w:pPr>
            <w:r>
              <w:rPr>
                <w:b/>
                <w:sz w:val="20"/>
                <w:szCs w:val="20"/>
              </w:rPr>
              <w:t>неблагополучных</w:t>
            </w:r>
          </w:p>
          <w:p w14:paraId="6AD82E38">
            <w:pPr>
              <w:spacing w:line="192" w:lineRule="auto"/>
              <w:jc w:val="center"/>
              <w:rPr>
                <w:b/>
                <w:sz w:val="20"/>
                <w:szCs w:val="20"/>
              </w:rPr>
            </w:pPr>
            <w:r>
              <w:rPr>
                <w:b/>
                <w:sz w:val="20"/>
                <w:szCs w:val="20"/>
              </w:rPr>
              <w:t>районов,</w:t>
            </w:r>
          </w:p>
          <w:p w14:paraId="667AA614">
            <w:pPr>
              <w:spacing w:line="192" w:lineRule="auto"/>
              <w:jc w:val="center"/>
              <w:rPr>
                <w:b/>
                <w:sz w:val="20"/>
                <w:szCs w:val="20"/>
              </w:rPr>
            </w:pPr>
            <w:r>
              <w:rPr>
                <w:b/>
                <w:sz w:val="20"/>
                <w:szCs w:val="20"/>
              </w:rPr>
              <w:t>ед.</w:t>
            </w:r>
          </w:p>
        </w:tc>
        <w:tc>
          <w:tcPr>
            <w:tcW w:w="3837" w:type="dxa"/>
            <w:gridSpan w:val="4"/>
          </w:tcPr>
          <w:p w14:paraId="3F91ECE5">
            <w:pPr>
              <w:jc w:val="center"/>
              <w:rPr>
                <w:b/>
                <w:sz w:val="20"/>
                <w:szCs w:val="20"/>
              </w:rPr>
            </w:pPr>
            <w:r>
              <w:rPr>
                <w:b/>
                <w:sz w:val="20"/>
                <w:szCs w:val="20"/>
              </w:rPr>
              <w:t>Число  потерь населения</w:t>
            </w:r>
          </w:p>
        </w:tc>
      </w:tr>
      <w:tr w14:paraId="0823AD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8" w:hRule="atLeast"/>
        </w:trPr>
        <w:tc>
          <w:tcPr>
            <w:tcW w:w="2820" w:type="dxa"/>
            <w:vMerge w:val="continue"/>
          </w:tcPr>
          <w:p w14:paraId="23AC721A">
            <w:pPr>
              <w:jc w:val="center"/>
              <w:rPr>
                <w:b/>
                <w:sz w:val="20"/>
                <w:szCs w:val="20"/>
              </w:rPr>
            </w:pPr>
          </w:p>
        </w:tc>
        <w:tc>
          <w:tcPr>
            <w:tcW w:w="1597" w:type="dxa"/>
            <w:gridSpan w:val="2"/>
            <w:vMerge w:val="continue"/>
          </w:tcPr>
          <w:p w14:paraId="04AF7533">
            <w:pPr>
              <w:spacing w:line="192" w:lineRule="auto"/>
              <w:jc w:val="center"/>
              <w:rPr>
                <w:b/>
                <w:sz w:val="20"/>
                <w:szCs w:val="20"/>
              </w:rPr>
            </w:pPr>
          </w:p>
        </w:tc>
        <w:tc>
          <w:tcPr>
            <w:tcW w:w="1800" w:type="dxa"/>
            <w:gridSpan w:val="2"/>
            <w:vMerge w:val="continue"/>
          </w:tcPr>
          <w:p w14:paraId="78CE0351">
            <w:pPr>
              <w:spacing w:line="192" w:lineRule="auto"/>
              <w:jc w:val="center"/>
              <w:rPr>
                <w:b/>
                <w:sz w:val="20"/>
                <w:szCs w:val="20"/>
              </w:rPr>
            </w:pPr>
          </w:p>
        </w:tc>
        <w:tc>
          <w:tcPr>
            <w:tcW w:w="1755" w:type="dxa"/>
            <w:gridSpan w:val="2"/>
          </w:tcPr>
          <w:p w14:paraId="2849C0AF">
            <w:pPr>
              <w:spacing w:line="192" w:lineRule="auto"/>
              <w:jc w:val="center"/>
              <w:rPr>
                <w:b/>
                <w:sz w:val="20"/>
                <w:szCs w:val="20"/>
              </w:rPr>
            </w:pPr>
            <w:r>
              <w:rPr>
                <w:b/>
                <w:sz w:val="20"/>
                <w:szCs w:val="20"/>
              </w:rPr>
              <w:t>Заболело</w:t>
            </w:r>
          </w:p>
        </w:tc>
        <w:tc>
          <w:tcPr>
            <w:tcW w:w="2082" w:type="dxa"/>
            <w:gridSpan w:val="2"/>
          </w:tcPr>
          <w:p w14:paraId="77A5FEA8">
            <w:pPr>
              <w:spacing w:line="192" w:lineRule="auto"/>
              <w:jc w:val="center"/>
              <w:rPr>
                <w:b/>
                <w:sz w:val="20"/>
                <w:szCs w:val="20"/>
              </w:rPr>
            </w:pPr>
            <w:r>
              <w:rPr>
                <w:b/>
                <w:sz w:val="20"/>
                <w:szCs w:val="20"/>
              </w:rPr>
              <w:t>Умерло</w:t>
            </w:r>
          </w:p>
        </w:tc>
      </w:tr>
      <w:tr w14:paraId="41B72D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0" w:type="dxa"/>
            <w:vMerge w:val="continue"/>
          </w:tcPr>
          <w:p w14:paraId="6984744B">
            <w:pPr>
              <w:jc w:val="center"/>
              <w:rPr>
                <w:b/>
                <w:sz w:val="20"/>
                <w:szCs w:val="20"/>
              </w:rPr>
            </w:pPr>
          </w:p>
        </w:tc>
        <w:tc>
          <w:tcPr>
            <w:tcW w:w="873" w:type="dxa"/>
          </w:tcPr>
          <w:p w14:paraId="54D3516D">
            <w:pPr>
              <w:jc w:val="center"/>
              <w:rPr>
                <w:b/>
                <w:sz w:val="20"/>
                <w:szCs w:val="20"/>
              </w:rPr>
            </w:pPr>
            <w:r>
              <w:rPr>
                <w:b/>
                <w:sz w:val="20"/>
                <w:szCs w:val="20"/>
              </w:rPr>
              <w:t>20</w:t>
            </w:r>
            <w:r>
              <w:rPr>
                <w:b/>
                <w:sz w:val="20"/>
                <w:szCs w:val="20"/>
                <w:lang w:val="ru-RU"/>
              </w:rPr>
              <w:t>23</w:t>
            </w:r>
            <w:r>
              <w:rPr>
                <w:b/>
                <w:sz w:val="20"/>
                <w:szCs w:val="20"/>
              </w:rPr>
              <w:t>г</w:t>
            </w:r>
          </w:p>
        </w:tc>
        <w:tc>
          <w:tcPr>
            <w:tcW w:w="724" w:type="dxa"/>
          </w:tcPr>
          <w:p w14:paraId="217D5343">
            <w:pPr>
              <w:jc w:val="center"/>
              <w:rPr>
                <w:b/>
                <w:sz w:val="20"/>
                <w:szCs w:val="20"/>
              </w:rPr>
            </w:pPr>
            <w:r>
              <w:rPr>
                <w:b/>
                <w:sz w:val="20"/>
                <w:szCs w:val="20"/>
              </w:rPr>
              <w:t>20</w:t>
            </w:r>
            <w:r>
              <w:rPr>
                <w:b/>
                <w:sz w:val="20"/>
                <w:szCs w:val="20"/>
                <w:lang w:val="ru-RU"/>
              </w:rPr>
              <w:t>24</w:t>
            </w:r>
            <w:r>
              <w:rPr>
                <w:b/>
                <w:sz w:val="20"/>
                <w:szCs w:val="20"/>
              </w:rPr>
              <w:t>г</w:t>
            </w:r>
          </w:p>
        </w:tc>
        <w:tc>
          <w:tcPr>
            <w:tcW w:w="915" w:type="dxa"/>
          </w:tcPr>
          <w:p w14:paraId="1D84362B">
            <w:pPr>
              <w:jc w:val="center"/>
              <w:rPr>
                <w:b/>
                <w:sz w:val="20"/>
                <w:szCs w:val="20"/>
              </w:rPr>
            </w:pPr>
            <w:r>
              <w:rPr>
                <w:b/>
                <w:sz w:val="20"/>
                <w:szCs w:val="20"/>
              </w:rPr>
              <w:t>20</w:t>
            </w:r>
            <w:r>
              <w:rPr>
                <w:b/>
                <w:sz w:val="20"/>
                <w:szCs w:val="20"/>
                <w:lang w:val="ru-RU"/>
              </w:rPr>
              <w:t>23</w:t>
            </w:r>
            <w:r>
              <w:rPr>
                <w:b/>
                <w:sz w:val="20"/>
                <w:szCs w:val="20"/>
              </w:rPr>
              <w:t>г</w:t>
            </w:r>
          </w:p>
        </w:tc>
        <w:tc>
          <w:tcPr>
            <w:tcW w:w="885" w:type="dxa"/>
          </w:tcPr>
          <w:p w14:paraId="25F99476">
            <w:pPr>
              <w:jc w:val="center"/>
              <w:rPr>
                <w:b/>
                <w:sz w:val="20"/>
                <w:szCs w:val="20"/>
              </w:rPr>
            </w:pPr>
            <w:r>
              <w:rPr>
                <w:b/>
                <w:sz w:val="20"/>
                <w:szCs w:val="20"/>
              </w:rPr>
              <w:t>20</w:t>
            </w:r>
            <w:r>
              <w:rPr>
                <w:b/>
                <w:sz w:val="20"/>
                <w:szCs w:val="20"/>
                <w:lang w:val="ru-RU"/>
              </w:rPr>
              <w:t>24</w:t>
            </w:r>
            <w:r>
              <w:rPr>
                <w:b/>
                <w:sz w:val="20"/>
                <w:szCs w:val="20"/>
              </w:rPr>
              <w:t>г</w:t>
            </w:r>
          </w:p>
        </w:tc>
        <w:tc>
          <w:tcPr>
            <w:tcW w:w="930" w:type="dxa"/>
          </w:tcPr>
          <w:p w14:paraId="2C17221E">
            <w:pPr>
              <w:jc w:val="center"/>
              <w:rPr>
                <w:b/>
                <w:sz w:val="20"/>
                <w:szCs w:val="20"/>
              </w:rPr>
            </w:pPr>
            <w:r>
              <w:rPr>
                <w:b/>
                <w:sz w:val="20"/>
                <w:szCs w:val="20"/>
              </w:rPr>
              <w:t>20</w:t>
            </w:r>
            <w:r>
              <w:rPr>
                <w:b/>
                <w:sz w:val="20"/>
                <w:szCs w:val="20"/>
                <w:lang w:val="ru-RU"/>
              </w:rPr>
              <w:t>23</w:t>
            </w:r>
            <w:r>
              <w:rPr>
                <w:b/>
                <w:sz w:val="20"/>
                <w:szCs w:val="20"/>
              </w:rPr>
              <w:t>г</w:t>
            </w:r>
          </w:p>
        </w:tc>
        <w:tc>
          <w:tcPr>
            <w:tcW w:w="825" w:type="dxa"/>
          </w:tcPr>
          <w:p w14:paraId="6026E2E4">
            <w:pPr>
              <w:jc w:val="center"/>
              <w:rPr>
                <w:b/>
                <w:sz w:val="20"/>
                <w:szCs w:val="20"/>
              </w:rPr>
            </w:pPr>
            <w:r>
              <w:rPr>
                <w:b/>
                <w:sz w:val="20"/>
                <w:szCs w:val="20"/>
              </w:rPr>
              <w:t>20</w:t>
            </w:r>
            <w:r>
              <w:rPr>
                <w:b/>
                <w:sz w:val="20"/>
                <w:szCs w:val="20"/>
                <w:lang w:val="ru-RU"/>
              </w:rPr>
              <w:t>24</w:t>
            </w:r>
            <w:r>
              <w:rPr>
                <w:b/>
                <w:sz w:val="20"/>
                <w:szCs w:val="20"/>
              </w:rPr>
              <w:t>г</w:t>
            </w:r>
          </w:p>
        </w:tc>
        <w:tc>
          <w:tcPr>
            <w:tcW w:w="1002" w:type="dxa"/>
          </w:tcPr>
          <w:p w14:paraId="5595A1D3">
            <w:pPr>
              <w:jc w:val="center"/>
              <w:rPr>
                <w:b/>
                <w:sz w:val="20"/>
                <w:szCs w:val="20"/>
              </w:rPr>
            </w:pPr>
            <w:r>
              <w:rPr>
                <w:b/>
                <w:sz w:val="20"/>
                <w:szCs w:val="20"/>
              </w:rPr>
              <w:t>20</w:t>
            </w:r>
            <w:r>
              <w:rPr>
                <w:b/>
                <w:sz w:val="20"/>
                <w:szCs w:val="20"/>
                <w:lang w:val="ru-RU"/>
              </w:rPr>
              <w:t>23</w:t>
            </w:r>
            <w:r>
              <w:rPr>
                <w:b/>
                <w:sz w:val="20"/>
                <w:szCs w:val="20"/>
              </w:rPr>
              <w:t>г</w:t>
            </w:r>
          </w:p>
        </w:tc>
        <w:tc>
          <w:tcPr>
            <w:tcW w:w="1080" w:type="dxa"/>
          </w:tcPr>
          <w:p w14:paraId="14E712E7">
            <w:pPr>
              <w:jc w:val="center"/>
              <w:rPr>
                <w:b/>
                <w:sz w:val="20"/>
                <w:szCs w:val="20"/>
              </w:rPr>
            </w:pPr>
            <w:r>
              <w:rPr>
                <w:b/>
                <w:sz w:val="20"/>
                <w:szCs w:val="20"/>
              </w:rPr>
              <w:t>20</w:t>
            </w:r>
            <w:r>
              <w:rPr>
                <w:b/>
                <w:sz w:val="20"/>
                <w:szCs w:val="20"/>
                <w:lang w:val="ru-RU"/>
              </w:rPr>
              <w:t>24</w:t>
            </w:r>
            <w:r>
              <w:rPr>
                <w:b/>
                <w:sz w:val="20"/>
                <w:szCs w:val="20"/>
              </w:rPr>
              <w:t>г</w:t>
            </w:r>
          </w:p>
        </w:tc>
      </w:tr>
      <w:tr w14:paraId="10B2A0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0" w:type="dxa"/>
            <w:vAlign w:val="center"/>
          </w:tcPr>
          <w:p w14:paraId="76E2AE25">
            <w:pPr>
              <w:jc w:val="both"/>
              <w:rPr>
                <w:sz w:val="20"/>
                <w:szCs w:val="20"/>
              </w:rPr>
            </w:pPr>
            <w:r>
              <w:rPr>
                <w:sz w:val="20"/>
                <w:szCs w:val="20"/>
              </w:rPr>
              <w:t>Инфекционные</w:t>
            </w:r>
          </w:p>
        </w:tc>
        <w:tc>
          <w:tcPr>
            <w:tcW w:w="873" w:type="dxa"/>
            <w:vAlign w:val="center"/>
          </w:tcPr>
          <w:p w14:paraId="34F3F944">
            <w:pPr>
              <w:jc w:val="center"/>
              <w:rPr>
                <w:sz w:val="20"/>
                <w:szCs w:val="20"/>
              </w:rPr>
            </w:pPr>
            <w:r>
              <w:rPr>
                <w:sz w:val="20"/>
                <w:szCs w:val="20"/>
              </w:rPr>
              <w:t>0</w:t>
            </w:r>
          </w:p>
        </w:tc>
        <w:tc>
          <w:tcPr>
            <w:tcW w:w="724" w:type="dxa"/>
          </w:tcPr>
          <w:p w14:paraId="5FE70520">
            <w:pPr>
              <w:jc w:val="center"/>
              <w:rPr>
                <w:sz w:val="20"/>
                <w:szCs w:val="20"/>
              </w:rPr>
            </w:pPr>
            <w:r>
              <w:rPr>
                <w:sz w:val="20"/>
                <w:szCs w:val="20"/>
              </w:rPr>
              <w:t>0</w:t>
            </w:r>
          </w:p>
        </w:tc>
        <w:tc>
          <w:tcPr>
            <w:tcW w:w="915" w:type="dxa"/>
          </w:tcPr>
          <w:p w14:paraId="21AE501D">
            <w:pPr>
              <w:jc w:val="center"/>
              <w:rPr>
                <w:sz w:val="20"/>
                <w:szCs w:val="20"/>
              </w:rPr>
            </w:pPr>
            <w:r>
              <w:rPr>
                <w:sz w:val="20"/>
                <w:szCs w:val="20"/>
              </w:rPr>
              <w:t>0</w:t>
            </w:r>
          </w:p>
        </w:tc>
        <w:tc>
          <w:tcPr>
            <w:tcW w:w="885" w:type="dxa"/>
            <w:vAlign w:val="center"/>
          </w:tcPr>
          <w:p w14:paraId="1077DA79">
            <w:pPr>
              <w:jc w:val="center"/>
              <w:rPr>
                <w:sz w:val="20"/>
                <w:szCs w:val="20"/>
              </w:rPr>
            </w:pPr>
            <w:r>
              <w:rPr>
                <w:sz w:val="20"/>
                <w:szCs w:val="20"/>
              </w:rPr>
              <w:t>0</w:t>
            </w:r>
          </w:p>
        </w:tc>
        <w:tc>
          <w:tcPr>
            <w:tcW w:w="930" w:type="dxa"/>
          </w:tcPr>
          <w:p w14:paraId="52519BA5">
            <w:pPr>
              <w:jc w:val="center"/>
              <w:rPr>
                <w:sz w:val="20"/>
                <w:szCs w:val="20"/>
              </w:rPr>
            </w:pPr>
            <w:r>
              <w:rPr>
                <w:sz w:val="20"/>
                <w:szCs w:val="20"/>
              </w:rPr>
              <w:t>0</w:t>
            </w:r>
          </w:p>
        </w:tc>
        <w:tc>
          <w:tcPr>
            <w:tcW w:w="825" w:type="dxa"/>
          </w:tcPr>
          <w:p w14:paraId="55747D84">
            <w:pPr>
              <w:jc w:val="center"/>
              <w:rPr>
                <w:sz w:val="20"/>
                <w:szCs w:val="20"/>
              </w:rPr>
            </w:pPr>
            <w:r>
              <w:rPr>
                <w:sz w:val="20"/>
                <w:szCs w:val="20"/>
              </w:rPr>
              <w:t>0</w:t>
            </w:r>
          </w:p>
        </w:tc>
        <w:tc>
          <w:tcPr>
            <w:tcW w:w="1002" w:type="dxa"/>
          </w:tcPr>
          <w:p w14:paraId="47156C7B">
            <w:pPr>
              <w:jc w:val="center"/>
              <w:rPr>
                <w:sz w:val="20"/>
                <w:szCs w:val="20"/>
              </w:rPr>
            </w:pPr>
            <w:r>
              <w:rPr>
                <w:sz w:val="20"/>
                <w:szCs w:val="20"/>
              </w:rPr>
              <w:t>0</w:t>
            </w:r>
          </w:p>
        </w:tc>
        <w:tc>
          <w:tcPr>
            <w:tcW w:w="1080" w:type="dxa"/>
          </w:tcPr>
          <w:p w14:paraId="5A3E9F33">
            <w:pPr>
              <w:jc w:val="center"/>
              <w:rPr>
                <w:sz w:val="20"/>
                <w:szCs w:val="20"/>
              </w:rPr>
            </w:pPr>
            <w:r>
              <w:rPr>
                <w:sz w:val="20"/>
                <w:szCs w:val="20"/>
              </w:rPr>
              <w:t>0</w:t>
            </w:r>
          </w:p>
        </w:tc>
      </w:tr>
      <w:tr w14:paraId="2FA432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0" w:type="dxa"/>
            <w:vAlign w:val="center"/>
          </w:tcPr>
          <w:p w14:paraId="020E0021">
            <w:pPr>
              <w:jc w:val="both"/>
              <w:rPr>
                <w:sz w:val="20"/>
                <w:szCs w:val="20"/>
              </w:rPr>
            </w:pPr>
            <w:r>
              <w:rPr>
                <w:sz w:val="20"/>
                <w:szCs w:val="20"/>
              </w:rPr>
              <w:t>Паразитарные</w:t>
            </w:r>
          </w:p>
        </w:tc>
        <w:tc>
          <w:tcPr>
            <w:tcW w:w="873" w:type="dxa"/>
            <w:vAlign w:val="center"/>
          </w:tcPr>
          <w:p w14:paraId="77E66662">
            <w:pPr>
              <w:jc w:val="center"/>
              <w:rPr>
                <w:sz w:val="20"/>
                <w:szCs w:val="20"/>
              </w:rPr>
            </w:pPr>
            <w:r>
              <w:rPr>
                <w:sz w:val="20"/>
                <w:szCs w:val="20"/>
              </w:rPr>
              <w:t>0</w:t>
            </w:r>
          </w:p>
        </w:tc>
        <w:tc>
          <w:tcPr>
            <w:tcW w:w="724" w:type="dxa"/>
          </w:tcPr>
          <w:p w14:paraId="5AC84527">
            <w:pPr>
              <w:jc w:val="center"/>
              <w:rPr>
                <w:sz w:val="20"/>
                <w:szCs w:val="20"/>
              </w:rPr>
            </w:pPr>
            <w:r>
              <w:rPr>
                <w:sz w:val="20"/>
                <w:szCs w:val="20"/>
              </w:rPr>
              <w:t>0</w:t>
            </w:r>
          </w:p>
        </w:tc>
        <w:tc>
          <w:tcPr>
            <w:tcW w:w="915" w:type="dxa"/>
          </w:tcPr>
          <w:p w14:paraId="660D0790">
            <w:pPr>
              <w:jc w:val="center"/>
              <w:rPr>
                <w:sz w:val="20"/>
                <w:szCs w:val="20"/>
              </w:rPr>
            </w:pPr>
            <w:r>
              <w:rPr>
                <w:sz w:val="20"/>
                <w:szCs w:val="20"/>
              </w:rPr>
              <w:t>0</w:t>
            </w:r>
          </w:p>
        </w:tc>
        <w:tc>
          <w:tcPr>
            <w:tcW w:w="885" w:type="dxa"/>
            <w:vAlign w:val="center"/>
          </w:tcPr>
          <w:p w14:paraId="6A8153F7">
            <w:pPr>
              <w:jc w:val="center"/>
              <w:rPr>
                <w:sz w:val="20"/>
                <w:szCs w:val="20"/>
              </w:rPr>
            </w:pPr>
            <w:r>
              <w:rPr>
                <w:sz w:val="20"/>
                <w:szCs w:val="20"/>
              </w:rPr>
              <w:t>0</w:t>
            </w:r>
          </w:p>
        </w:tc>
        <w:tc>
          <w:tcPr>
            <w:tcW w:w="930" w:type="dxa"/>
          </w:tcPr>
          <w:p w14:paraId="4A982BD3">
            <w:pPr>
              <w:jc w:val="center"/>
              <w:rPr>
                <w:sz w:val="20"/>
                <w:szCs w:val="20"/>
              </w:rPr>
            </w:pPr>
            <w:r>
              <w:rPr>
                <w:sz w:val="20"/>
                <w:szCs w:val="20"/>
              </w:rPr>
              <w:t>0</w:t>
            </w:r>
          </w:p>
        </w:tc>
        <w:tc>
          <w:tcPr>
            <w:tcW w:w="825" w:type="dxa"/>
          </w:tcPr>
          <w:p w14:paraId="02B5EC9A">
            <w:pPr>
              <w:jc w:val="center"/>
              <w:rPr>
                <w:sz w:val="20"/>
                <w:szCs w:val="20"/>
              </w:rPr>
            </w:pPr>
            <w:r>
              <w:rPr>
                <w:sz w:val="20"/>
                <w:szCs w:val="20"/>
              </w:rPr>
              <w:t>0</w:t>
            </w:r>
          </w:p>
        </w:tc>
        <w:tc>
          <w:tcPr>
            <w:tcW w:w="1002" w:type="dxa"/>
          </w:tcPr>
          <w:p w14:paraId="67B66115">
            <w:pPr>
              <w:jc w:val="center"/>
              <w:rPr>
                <w:sz w:val="20"/>
                <w:szCs w:val="20"/>
              </w:rPr>
            </w:pPr>
            <w:r>
              <w:rPr>
                <w:sz w:val="20"/>
                <w:szCs w:val="20"/>
              </w:rPr>
              <w:t>0</w:t>
            </w:r>
          </w:p>
        </w:tc>
        <w:tc>
          <w:tcPr>
            <w:tcW w:w="1080" w:type="dxa"/>
          </w:tcPr>
          <w:p w14:paraId="38CD8199">
            <w:pPr>
              <w:jc w:val="center"/>
              <w:rPr>
                <w:sz w:val="20"/>
                <w:szCs w:val="20"/>
              </w:rPr>
            </w:pPr>
            <w:r>
              <w:rPr>
                <w:sz w:val="20"/>
                <w:szCs w:val="20"/>
              </w:rPr>
              <w:t>0</w:t>
            </w:r>
          </w:p>
        </w:tc>
      </w:tr>
      <w:tr w14:paraId="2E7833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0" w:type="dxa"/>
            <w:vAlign w:val="center"/>
          </w:tcPr>
          <w:p w14:paraId="081AE443">
            <w:pPr>
              <w:jc w:val="both"/>
              <w:rPr>
                <w:sz w:val="20"/>
                <w:szCs w:val="20"/>
              </w:rPr>
            </w:pPr>
            <w:r>
              <w:rPr>
                <w:sz w:val="20"/>
                <w:szCs w:val="20"/>
              </w:rPr>
              <w:t>Пищевая токсикоинфекция</w:t>
            </w:r>
          </w:p>
        </w:tc>
        <w:tc>
          <w:tcPr>
            <w:tcW w:w="873" w:type="dxa"/>
            <w:vAlign w:val="center"/>
          </w:tcPr>
          <w:p w14:paraId="39E20905">
            <w:pPr>
              <w:jc w:val="center"/>
              <w:rPr>
                <w:sz w:val="20"/>
                <w:szCs w:val="20"/>
              </w:rPr>
            </w:pPr>
            <w:r>
              <w:rPr>
                <w:sz w:val="20"/>
                <w:szCs w:val="20"/>
              </w:rPr>
              <w:t>0</w:t>
            </w:r>
          </w:p>
        </w:tc>
        <w:tc>
          <w:tcPr>
            <w:tcW w:w="724" w:type="dxa"/>
          </w:tcPr>
          <w:p w14:paraId="7FA45B95">
            <w:pPr>
              <w:jc w:val="center"/>
              <w:rPr>
                <w:sz w:val="20"/>
                <w:szCs w:val="20"/>
              </w:rPr>
            </w:pPr>
            <w:r>
              <w:rPr>
                <w:sz w:val="20"/>
                <w:szCs w:val="20"/>
              </w:rPr>
              <w:t>0</w:t>
            </w:r>
          </w:p>
        </w:tc>
        <w:tc>
          <w:tcPr>
            <w:tcW w:w="915" w:type="dxa"/>
          </w:tcPr>
          <w:p w14:paraId="7AEEFAF9">
            <w:pPr>
              <w:jc w:val="center"/>
              <w:rPr>
                <w:sz w:val="20"/>
                <w:szCs w:val="20"/>
              </w:rPr>
            </w:pPr>
            <w:r>
              <w:rPr>
                <w:sz w:val="20"/>
                <w:szCs w:val="20"/>
              </w:rPr>
              <w:t>0</w:t>
            </w:r>
          </w:p>
        </w:tc>
        <w:tc>
          <w:tcPr>
            <w:tcW w:w="885" w:type="dxa"/>
            <w:vAlign w:val="center"/>
          </w:tcPr>
          <w:p w14:paraId="06E9C0E7">
            <w:pPr>
              <w:jc w:val="center"/>
              <w:rPr>
                <w:sz w:val="20"/>
                <w:szCs w:val="20"/>
              </w:rPr>
            </w:pPr>
            <w:r>
              <w:rPr>
                <w:sz w:val="20"/>
                <w:szCs w:val="20"/>
              </w:rPr>
              <w:t>0</w:t>
            </w:r>
          </w:p>
        </w:tc>
        <w:tc>
          <w:tcPr>
            <w:tcW w:w="930" w:type="dxa"/>
          </w:tcPr>
          <w:p w14:paraId="191354D1">
            <w:pPr>
              <w:jc w:val="center"/>
              <w:rPr>
                <w:sz w:val="20"/>
                <w:szCs w:val="20"/>
              </w:rPr>
            </w:pPr>
            <w:r>
              <w:rPr>
                <w:sz w:val="20"/>
                <w:szCs w:val="20"/>
              </w:rPr>
              <w:t>0</w:t>
            </w:r>
          </w:p>
        </w:tc>
        <w:tc>
          <w:tcPr>
            <w:tcW w:w="825" w:type="dxa"/>
          </w:tcPr>
          <w:p w14:paraId="634ED80A">
            <w:pPr>
              <w:jc w:val="center"/>
              <w:rPr>
                <w:sz w:val="20"/>
                <w:szCs w:val="20"/>
              </w:rPr>
            </w:pPr>
            <w:r>
              <w:rPr>
                <w:sz w:val="20"/>
                <w:szCs w:val="20"/>
              </w:rPr>
              <w:t>0</w:t>
            </w:r>
          </w:p>
        </w:tc>
        <w:tc>
          <w:tcPr>
            <w:tcW w:w="1002" w:type="dxa"/>
          </w:tcPr>
          <w:p w14:paraId="4DD7E5C0">
            <w:pPr>
              <w:jc w:val="center"/>
              <w:rPr>
                <w:sz w:val="20"/>
                <w:szCs w:val="20"/>
              </w:rPr>
            </w:pPr>
            <w:r>
              <w:rPr>
                <w:sz w:val="20"/>
                <w:szCs w:val="20"/>
              </w:rPr>
              <w:t>0</w:t>
            </w:r>
          </w:p>
        </w:tc>
        <w:tc>
          <w:tcPr>
            <w:tcW w:w="1080" w:type="dxa"/>
          </w:tcPr>
          <w:p w14:paraId="721F5356">
            <w:pPr>
              <w:jc w:val="center"/>
              <w:rPr>
                <w:sz w:val="20"/>
                <w:szCs w:val="20"/>
              </w:rPr>
            </w:pPr>
            <w:r>
              <w:rPr>
                <w:sz w:val="20"/>
                <w:szCs w:val="20"/>
              </w:rPr>
              <w:t>0</w:t>
            </w:r>
          </w:p>
        </w:tc>
      </w:tr>
      <w:tr w14:paraId="7A427D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820" w:type="dxa"/>
            <w:vAlign w:val="center"/>
          </w:tcPr>
          <w:p w14:paraId="0A723FF7">
            <w:pPr>
              <w:jc w:val="both"/>
              <w:rPr>
                <w:sz w:val="20"/>
                <w:szCs w:val="20"/>
              </w:rPr>
            </w:pPr>
            <w:r>
              <w:rPr>
                <w:sz w:val="20"/>
                <w:szCs w:val="20"/>
              </w:rPr>
              <w:t>Прочие отравления</w:t>
            </w:r>
          </w:p>
        </w:tc>
        <w:tc>
          <w:tcPr>
            <w:tcW w:w="873" w:type="dxa"/>
            <w:vAlign w:val="center"/>
          </w:tcPr>
          <w:p w14:paraId="7140BC0A">
            <w:pPr>
              <w:jc w:val="center"/>
              <w:rPr>
                <w:sz w:val="20"/>
                <w:szCs w:val="20"/>
              </w:rPr>
            </w:pPr>
            <w:r>
              <w:rPr>
                <w:sz w:val="20"/>
                <w:szCs w:val="20"/>
              </w:rPr>
              <w:t>0</w:t>
            </w:r>
          </w:p>
        </w:tc>
        <w:tc>
          <w:tcPr>
            <w:tcW w:w="724" w:type="dxa"/>
          </w:tcPr>
          <w:p w14:paraId="69DD30F2">
            <w:pPr>
              <w:jc w:val="center"/>
              <w:rPr>
                <w:sz w:val="20"/>
                <w:szCs w:val="20"/>
              </w:rPr>
            </w:pPr>
            <w:r>
              <w:rPr>
                <w:sz w:val="20"/>
                <w:szCs w:val="20"/>
              </w:rPr>
              <w:t>0</w:t>
            </w:r>
          </w:p>
        </w:tc>
        <w:tc>
          <w:tcPr>
            <w:tcW w:w="915" w:type="dxa"/>
          </w:tcPr>
          <w:p w14:paraId="65110D44">
            <w:pPr>
              <w:jc w:val="center"/>
              <w:rPr>
                <w:sz w:val="20"/>
                <w:szCs w:val="20"/>
              </w:rPr>
            </w:pPr>
            <w:r>
              <w:rPr>
                <w:sz w:val="20"/>
                <w:szCs w:val="20"/>
              </w:rPr>
              <w:t>0</w:t>
            </w:r>
          </w:p>
        </w:tc>
        <w:tc>
          <w:tcPr>
            <w:tcW w:w="885" w:type="dxa"/>
            <w:vAlign w:val="center"/>
          </w:tcPr>
          <w:p w14:paraId="41390E2D">
            <w:pPr>
              <w:jc w:val="center"/>
              <w:rPr>
                <w:sz w:val="20"/>
                <w:szCs w:val="20"/>
              </w:rPr>
            </w:pPr>
            <w:r>
              <w:rPr>
                <w:sz w:val="20"/>
                <w:szCs w:val="20"/>
              </w:rPr>
              <w:t>0</w:t>
            </w:r>
          </w:p>
        </w:tc>
        <w:tc>
          <w:tcPr>
            <w:tcW w:w="930" w:type="dxa"/>
          </w:tcPr>
          <w:p w14:paraId="44EEF727">
            <w:pPr>
              <w:jc w:val="center"/>
              <w:rPr>
                <w:sz w:val="20"/>
                <w:szCs w:val="20"/>
              </w:rPr>
            </w:pPr>
            <w:r>
              <w:rPr>
                <w:sz w:val="20"/>
                <w:szCs w:val="20"/>
              </w:rPr>
              <w:t>0</w:t>
            </w:r>
          </w:p>
        </w:tc>
        <w:tc>
          <w:tcPr>
            <w:tcW w:w="825" w:type="dxa"/>
          </w:tcPr>
          <w:p w14:paraId="05EF5FAB">
            <w:pPr>
              <w:jc w:val="center"/>
              <w:rPr>
                <w:sz w:val="20"/>
                <w:szCs w:val="20"/>
              </w:rPr>
            </w:pPr>
            <w:r>
              <w:rPr>
                <w:sz w:val="20"/>
                <w:szCs w:val="20"/>
              </w:rPr>
              <w:t>0</w:t>
            </w:r>
          </w:p>
        </w:tc>
        <w:tc>
          <w:tcPr>
            <w:tcW w:w="1002" w:type="dxa"/>
          </w:tcPr>
          <w:p w14:paraId="7F4E5B50">
            <w:pPr>
              <w:jc w:val="center"/>
              <w:rPr>
                <w:sz w:val="20"/>
                <w:szCs w:val="20"/>
              </w:rPr>
            </w:pPr>
            <w:r>
              <w:rPr>
                <w:sz w:val="20"/>
                <w:szCs w:val="20"/>
              </w:rPr>
              <w:t>0</w:t>
            </w:r>
          </w:p>
        </w:tc>
        <w:tc>
          <w:tcPr>
            <w:tcW w:w="1080" w:type="dxa"/>
          </w:tcPr>
          <w:p w14:paraId="417838E8">
            <w:pPr>
              <w:jc w:val="center"/>
              <w:rPr>
                <w:sz w:val="20"/>
                <w:szCs w:val="20"/>
              </w:rPr>
            </w:pPr>
            <w:r>
              <w:rPr>
                <w:sz w:val="20"/>
                <w:szCs w:val="20"/>
              </w:rPr>
              <w:t>0</w:t>
            </w:r>
          </w:p>
        </w:tc>
      </w:tr>
    </w:tbl>
    <w:p w14:paraId="4F9F4054">
      <w:pPr>
        <w:spacing w:line="276" w:lineRule="auto"/>
        <w:ind w:firstLine="567"/>
        <w:contextualSpacing/>
        <w:jc w:val="both"/>
        <w:rPr>
          <w:sz w:val="28"/>
          <w:szCs w:val="28"/>
          <w:lang w:val="ru-RU"/>
        </w:rPr>
      </w:pPr>
      <w:r>
        <w:rPr>
          <w:sz w:val="28"/>
          <w:szCs w:val="28"/>
          <w:lang w:val="ru-RU"/>
        </w:rPr>
        <w:t xml:space="preserve">Массовых инфекционных заболеваний и отравлений людей в селе Сухарево в 2024 году не зарегистрировано. </w:t>
      </w:r>
    </w:p>
    <w:p w14:paraId="4505E929">
      <w:pPr>
        <w:spacing w:line="276" w:lineRule="auto"/>
        <w:ind w:firstLine="567"/>
        <w:contextualSpacing/>
        <w:jc w:val="both"/>
        <w:rPr>
          <w:sz w:val="28"/>
          <w:szCs w:val="28"/>
          <w:lang w:val="ru-RU"/>
        </w:rPr>
      </w:pPr>
      <w:r>
        <w:rPr>
          <w:sz w:val="28"/>
          <w:szCs w:val="28"/>
          <w:lang w:val="ru-RU"/>
        </w:rPr>
        <w:t xml:space="preserve">Случаи заболевания тропической малярией не зарегистрированы. </w:t>
      </w:r>
    </w:p>
    <w:p w14:paraId="5A4B5C8C">
      <w:pPr>
        <w:spacing w:line="276" w:lineRule="auto"/>
        <w:ind w:firstLine="567"/>
        <w:contextualSpacing/>
        <w:jc w:val="both"/>
        <w:rPr>
          <w:sz w:val="28"/>
          <w:szCs w:val="28"/>
          <w:lang w:val="ru-RU"/>
        </w:rPr>
      </w:pPr>
    </w:p>
    <w:p w14:paraId="209C50D6">
      <w:pPr>
        <w:contextualSpacing/>
        <w:jc w:val="center"/>
        <w:rPr>
          <w:i/>
          <w:sz w:val="28"/>
          <w:szCs w:val="28"/>
          <w:lang w:val="ru-RU"/>
        </w:rPr>
      </w:pPr>
      <w:bookmarkStart w:id="22" w:name="bookmark5"/>
      <w:r>
        <w:rPr>
          <w:i/>
          <w:sz w:val="28"/>
          <w:szCs w:val="28"/>
          <w:lang w:val="ru-RU"/>
        </w:rPr>
        <w:t>Эпизоотии</w:t>
      </w:r>
      <w:bookmarkEnd w:id="22"/>
      <w:r>
        <w:rPr>
          <w:i/>
          <w:sz w:val="28"/>
          <w:szCs w:val="28"/>
          <w:lang w:val="ru-RU"/>
        </w:rPr>
        <w:t xml:space="preserve"> </w:t>
      </w:r>
    </w:p>
    <w:p w14:paraId="619F7D2D">
      <w:pPr>
        <w:contextualSpacing/>
        <w:rPr>
          <w:b/>
          <w:sz w:val="24"/>
          <w:szCs w:val="24"/>
          <w:lang w:val="ru-RU"/>
        </w:rPr>
      </w:pPr>
      <w:r>
        <w:rPr>
          <w:b/>
          <w:sz w:val="24"/>
          <w:szCs w:val="24"/>
          <w:lang w:val="ru-RU"/>
        </w:rPr>
        <w:t>Сведения об инфекционных, паразитарных и зоонозных заболеваниях животных и птицы</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88"/>
        <w:gridCol w:w="2520"/>
        <w:gridCol w:w="989"/>
        <w:gridCol w:w="855"/>
        <w:gridCol w:w="935"/>
        <w:gridCol w:w="960"/>
        <w:gridCol w:w="855"/>
        <w:gridCol w:w="825"/>
      </w:tblGrid>
      <w:tr w14:paraId="7B9663C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vMerge w:val="restart"/>
          </w:tcPr>
          <w:p w14:paraId="2BF138FF">
            <w:pPr>
              <w:rPr>
                <w:b/>
                <w:bCs/>
                <w:sz w:val="20"/>
                <w:szCs w:val="20"/>
              </w:rPr>
            </w:pPr>
            <w:r>
              <w:rPr>
                <w:b/>
                <w:bCs/>
                <w:sz w:val="20"/>
                <w:szCs w:val="20"/>
                <w:lang w:val="ru-RU"/>
              </w:rPr>
              <w:t>Муниципальное образование</w:t>
            </w:r>
          </w:p>
        </w:tc>
        <w:tc>
          <w:tcPr>
            <w:tcW w:w="2520" w:type="dxa"/>
            <w:vMerge w:val="restart"/>
          </w:tcPr>
          <w:p w14:paraId="6ABF2111">
            <w:pPr>
              <w:rPr>
                <w:b/>
                <w:bCs/>
                <w:sz w:val="20"/>
                <w:szCs w:val="20"/>
                <w:lang w:val="ru-RU"/>
              </w:rPr>
            </w:pPr>
            <w:r>
              <w:rPr>
                <w:b/>
                <w:bCs/>
                <w:sz w:val="20"/>
                <w:szCs w:val="20"/>
                <w:lang w:val="ru-RU"/>
              </w:rPr>
              <w:t>Наименование инфекционных и наиболее опасных заболеваний животных и птицы</w:t>
            </w:r>
          </w:p>
        </w:tc>
        <w:tc>
          <w:tcPr>
            <w:tcW w:w="1844" w:type="dxa"/>
            <w:gridSpan w:val="2"/>
            <w:vMerge w:val="restart"/>
          </w:tcPr>
          <w:p w14:paraId="17BC714C">
            <w:pPr>
              <w:rPr>
                <w:b/>
                <w:bCs/>
                <w:sz w:val="20"/>
                <w:szCs w:val="20"/>
              </w:rPr>
            </w:pPr>
            <w:r>
              <w:rPr>
                <w:b/>
                <w:bCs/>
                <w:sz w:val="20"/>
                <w:szCs w:val="20"/>
              </w:rPr>
              <w:t>Количество чрезвычайных ситуаций, ед.</w:t>
            </w:r>
          </w:p>
        </w:tc>
        <w:tc>
          <w:tcPr>
            <w:tcW w:w="3575" w:type="dxa"/>
            <w:gridSpan w:val="4"/>
          </w:tcPr>
          <w:p w14:paraId="3BA42B59">
            <w:pPr>
              <w:rPr>
                <w:b/>
                <w:bCs/>
                <w:sz w:val="20"/>
                <w:szCs w:val="20"/>
                <w:lang w:val="ru-RU"/>
              </w:rPr>
            </w:pPr>
            <w:r>
              <w:rPr>
                <w:b/>
                <w:bCs/>
                <w:sz w:val="20"/>
                <w:szCs w:val="20"/>
                <w:lang w:val="ru-RU"/>
              </w:rPr>
              <w:t>Количество животных, птиц, тыс.голов</w:t>
            </w:r>
          </w:p>
        </w:tc>
      </w:tr>
      <w:tr w14:paraId="3750D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vMerge w:val="continue"/>
          </w:tcPr>
          <w:p w14:paraId="2F1E88A8">
            <w:pPr>
              <w:rPr>
                <w:b/>
                <w:bCs/>
                <w:sz w:val="20"/>
                <w:szCs w:val="20"/>
                <w:lang w:val="ru-RU"/>
              </w:rPr>
            </w:pPr>
          </w:p>
        </w:tc>
        <w:tc>
          <w:tcPr>
            <w:tcW w:w="2520" w:type="dxa"/>
            <w:vMerge w:val="continue"/>
          </w:tcPr>
          <w:p w14:paraId="140565BF">
            <w:pPr>
              <w:rPr>
                <w:b/>
                <w:bCs/>
                <w:sz w:val="20"/>
                <w:szCs w:val="20"/>
                <w:lang w:val="ru-RU"/>
              </w:rPr>
            </w:pPr>
          </w:p>
        </w:tc>
        <w:tc>
          <w:tcPr>
            <w:tcW w:w="1844" w:type="dxa"/>
            <w:gridSpan w:val="2"/>
            <w:vMerge w:val="continue"/>
          </w:tcPr>
          <w:p w14:paraId="20C82F5E">
            <w:pPr>
              <w:rPr>
                <w:b/>
                <w:bCs/>
                <w:sz w:val="20"/>
                <w:szCs w:val="20"/>
                <w:lang w:val="ru-RU"/>
              </w:rPr>
            </w:pPr>
          </w:p>
        </w:tc>
        <w:tc>
          <w:tcPr>
            <w:tcW w:w="1895" w:type="dxa"/>
            <w:gridSpan w:val="2"/>
          </w:tcPr>
          <w:p w14:paraId="7E41FDB0">
            <w:pPr>
              <w:rPr>
                <w:b/>
                <w:bCs/>
                <w:sz w:val="20"/>
                <w:szCs w:val="20"/>
              </w:rPr>
            </w:pPr>
            <w:r>
              <w:rPr>
                <w:b/>
                <w:bCs/>
                <w:sz w:val="20"/>
                <w:szCs w:val="20"/>
              </w:rPr>
              <w:t>Заболело</w:t>
            </w:r>
          </w:p>
        </w:tc>
        <w:tc>
          <w:tcPr>
            <w:tcW w:w="1680" w:type="dxa"/>
            <w:gridSpan w:val="2"/>
          </w:tcPr>
          <w:p w14:paraId="55000D03">
            <w:pPr>
              <w:rPr>
                <w:b/>
                <w:bCs/>
                <w:sz w:val="20"/>
                <w:szCs w:val="20"/>
              </w:rPr>
            </w:pPr>
            <w:r>
              <w:rPr>
                <w:b/>
                <w:bCs/>
                <w:sz w:val="20"/>
                <w:szCs w:val="20"/>
              </w:rPr>
              <w:t>Пало</w:t>
            </w:r>
          </w:p>
        </w:tc>
      </w:tr>
      <w:tr w14:paraId="6E0DD5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vMerge w:val="continue"/>
          </w:tcPr>
          <w:p w14:paraId="43EBAB59">
            <w:pPr>
              <w:rPr>
                <w:bCs/>
                <w:sz w:val="20"/>
                <w:szCs w:val="20"/>
              </w:rPr>
            </w:pPr>
          </w:p>
        </w:tc>
        <w:tc>
          <w:tcPr>
            <w:tcW w:w="2520" w:type="dxa"/>
            <w:vMerge w:val="continue"/>
          </w:tcPr>
          <w:p w14:paraId="6EABC561">
            <w:pPr>
              <w:rPr>
                <w:bCs/>
                <w:sz w:val="20"/>
                <w:szCs w:val="20"/>
              </w:rPr>
            </w:pPr>
          </w:p>
        </w:tc>
        <w:tc>
          <w:tcPr>
            <w:tcW w:w="989" w:type="dxa"/>
          </w:tcPr>
          <w:p w14:paraId="78EF8451">
            <w:pPr>
              <w:jc w:val="center"/>
              <w:rPr>
                <w:b/>
                <w:sz w:val="20"/>
                <w:szCs w:val="20"/>
              </w:rPr>
            </w:pPr>
            <w:r>
              <w:rPr>
                <w:b/>
                <w:sz w:val="20"/>
                <w:szCs w:val="20"/>
              </w:rPr>
              <w:t>20</w:t>
            </w:r>
            <w:r>
              <w:rPr>
                <w:b/>
                <w:sz w:val="20"/>
                <w:szCs w:val="20"/>
                <w:lang w:val="ru-RU"/>
              </w:rPr>
              <w:t>23</w:t>
            </w:r>
            <w:r>
              <w:rPr>
                <w:b/>
                <w:sz w:val="20"/>
                <w:szCs w:val="20"/>
              </w:rPr>
              <w:t>г</w:t>
            </w:r>
          </w:p>
        </w:tc>
        <w:tc>
          <w:tcPr>
            <w:tcW w:w="855" w:type="dxa"/>
          </w:tcPr>
          <w:p w14:paraId="30C3FBA6">
            <w:pPr>
              <w:jc w:val="center"/>
              <w:rPr>
                <w:b/>
                <w:sz w:val="20"/>
                <w:szCs w:val="20"/>
              </w:rPr>
            </w:pPr>
            <w:r>
              <w:rPr>
                <w:b/>
                <w:sz w:val="20"/>
                <w:szCs w:val="20"/>
              </w:rPr>
              <w:t>20</w:t>
            </w:r>
            <w:r>
              <w:rPr>
                <w:b/>
                <w:sz w:val="20"/>
                <w:szCs w:val="20"/>
                <w:lang w:val="ru-RU"/>
              </w:rPr>
              <w:t>24</w:t>
            </w:r>
            <w:r>
              <w:rPr>
                <w:b/>
                <w:sz w:val="20"/>
                <w:szCs w:val="20"/>
              </w:rPr>
              <w:t>г</w:t>
            </w:r>
          </w:p>
        </w:tc>
        <w:tc>
          <w:tcPr>
            <w:tcW w:w="935" w:type="dxa"/>
          </w:tcPr>
          <w:p w14:paraId="56BCD795">
            <w:pPr>
              <w:jc w:val="center"/>
              <w:rPr>
                <w:b/>
                <w:sz w:val="20"/>
                <w:szCs w:val="20"/>
              </w:rPr>
            </w:pPr>
            <w:r>
              <w:rPr>
                <w:b/>
                <w:sz w:val="20"/>
                <w:szCs w:val="20"/>
              </w:rPr>
              <w:t>20</w:t>
            </w:r>
            <w:r>
              <w:rPr>
                <w:b/>
                <w:sz w:val="20"/>
                <w:szCs w:val="20"/>
                <w:lang w:val="ru-RU"/>
              </w:rPr>
              <w:t>21</w:t>
            </w:r>
            <w:r>
              <w:rPr>
                <w:b/>
                <w:sz w:val="20"/>
                <w:szCs w:val="20"/>
              </w:rPr>
              <w:t>г</w:t>
            </w:r>
          </w:p>
        </w:tc>
        <w:tc>
          <w:tcPr>
            <w:tcW w:w="960" w:type="dxa"/>
          </w:tcPr>
          <w:p w14:paraId="24EA3B8E">
            <w:pPr>
              <w:jc w:val="center"/>
              <w:rPr>
                <w:b/>
                <w:sz w:val="20"/>
                <w:szCs w:val="20"/>
              </w:rPr>
            </w:pPr>
            <w:r>
              <w:rPr>
                <w:b/>
                <w:sz w:val="20"/>
                <w:szCs w:val="20"/>
              </w:rPr>
              <w:t>20</w:t>
            </w:r>
            <w:r>
              <w:rPr>
                <w:b/>
                <w:sz w:val="20"/>
                <w:szCs w:val="20"/>
                <w:lang w:val="ru-RU"/>
              </w:rPr>
              <w:t>22</w:t>
            </w:r>
            <w:r>
              <w:rPr>
                <w:b/>
                <w:sz w:val="20"/>
                <w:szCs w:val="20"/>
              </w:rPr>
              <w:t>г</w:t>
            </w:r>
          </w:p>
        </w:tc>
        <w:tc>
          <w:tcPr>
            <w:tcW w:w="855" w:type="dxa"/>
          </w:tcPr>
          <w:p w14:paraId="3885AAA7">
            <w:pPr>
              <w:jc w:val="center"/>
              <w:rPr>
                <w:b/>
                <w:sz w:val="20"/>
                <w:szCs w:val="20"/>
              </w:rPr>
            </w:pPr>
            <w:r>
              <w:rPr>
                <w:b/>
                <w:sz w:val="20"/>
                <w:szCs w:val="20"/>
              </w:rPr>
              <w:t>20</w:t>
            </w:r>
            <w:r>
              <w:rPr>
                <w:b/>
                <w:sz w:val="20"/>
                <w:szCs w:val="20"/>
                <w:lang w:val="ru-RU"/>
              </w:rPr>
              <w:t>23</w:t>
            </w:r>
            <w:r>
              <w:rPr>
                <w:b/>
                <w:sz w:val="20"/>
                <w:szCs w:val="20"/>
              </w:rPr>
              <w:t>г</w:t>
            </w:r>
          </w:p>
        </w:tc>
        <w:tc>
          <w:tcPr>
            <w:tcW w:w="825" w:type="dxa"/>
          </w:tcPr>
          <w:p w14:paraId="4109DC22">
            <w:pPr>
              <w:jc w:val="center"/>
              <w:rPr>
                <w:b/>
                <w:sz w:val="20"/>
                <w:szCs w:val="20"/>
              </w:rPr>
            </w:pPr>
            <w:r>
              <w:rPr>
                <w:b/>
                <w:sz w:val="20"/>
                <w:szCs w:val="20"/>
              </w:rPr>
              <w:t>20</w:t>
            </w:r>
            <w:r>
              <w:rPr>
                <w:b/>
                <w:sz w:val="20"/>
                <w:szCs w:val="20"/>
                <w:lang w:val="ru-RU"/>
              </w:rPr>
              <w:t>24</w:t>
            </w:r>
            <w:r>
              <w:rPr>
                <w:b/>
                <w:sz w:val="20"/>
                <w:szCs w:val="20"/>
              </w:rPr>
              <w:t>г</w:t>
            </w:r>
          </w:p>
        </w:tc>
      </w:tr>
      <w:tr w14:paraId="35227A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088" w:type="dxa"/>
          </w:tcPr>
          <w:p w14:paraId="55982B0F">
            <w:pPr>
              <w:jc w:val="both"/>
              <w:rPr>
                <w:bCs/>
                <w:sz w:val="20"/>
                <w:szCs w:val="20"/>
              </w:rPr>
            </w:pPr>
            <w:r>
              <w:rPr>
                <w:sz w:val="20"/>
                <w:szCs w:val="20"/>
              </w:rPr>
              <w:t>село Сухарево</w:t>
            </w:r>
          </w:p>
        </w:tc>
        <w:tc>
          <w:tcPr>
            <w:tcW w:w="2520" w:type="dxa"/>
          </w:tcPr>
          <w:p w14:paraId="1A43653A">
            <w:pPr>
              <w:rPr>
                <w:bCs/>
                <w:sz w:val="20"/>
                <w:szCs w:val="20"/>
              </w:rPr>
            </w:pPr>
            <w:r>
              <w:rPr>
                <w:bCs/>
                <w:sz w:val="20"/>
                <w:szCs w:val="20"/>
              </w:rPr>
              <w:t>Бешенство</w:t>
            </w:r>
          </w:p>
        </w:tc>
        <w:tc>
          <w:tcPr>
            <w:tcW w:w="989" w:type="dxa"/>
          </w:tcPr>
          <w:p w14:paraId="789A6F0C">
            <w:pPr>
              <w:rPr>
                <w:bCs/>
                <w:sz w:val="20"/>
                <w:szCs w:val="20"/>
              </w:rPr>
            </w:pPr>
            <w:r>
              <w:rPr>
                <w:bCs/>
                <w:sz w:val="20"/>
                <w:szCs w:val="20"/>
                <w:lang w:val="ru-RU"/>
              </w:rPr>
              <w:t>0</w:t>
            </w:r>
          </w:p>
        </w:tc>
        <w:tc>
          <w:tcPr>
            <w:tcW w:w="855" w:type="dxa"/>
          </w:tcPr>
          <w:p w14:paraId="499E2966">
            <w:pPr>
              <w:rPr>
                <w:bCs/>
                <w:sz w:val="20"/>
                <w:szCs w:val="20"/>
                <w:lang w:val="ru-RU"/>
              </w:rPr>
            </w:pPr>
            <w:r>
              <w:rPr>
                <w:bCs/>
                <w:sz w:val="20"/>
                <w:szCs w:val="20"/>
                <w:lang w:val="ru-RU"/>
              </w:rPr>
              <w:t>0</w:t>
            </w:r>
          </w:p>
        </w:tc>
        <w:tc>
          <w:tcPr>
            <w:tcW w:w="935" w:type="dxa"/>
          </w:tcPr>
          <w:p w14:paraId="42AAD9D1">
            <w:pPr>
              <w:rPr>
                <w:bCs/>
                <w:sz w:val="20"/>
                <w:szCs w:val="20"/>
                <w:lang w:val="ru-RU"/>
              </w:rPr>
            </w:pPr>
            <w:r>
              <w:rPr>
                <w:bCs/>
                <w:sz w:val="20"/>
                <w:szCs w:val="20"/>
                <w:lang w:val="ru-RU"/>
              </w:rPr>
              <w:t>0</w:t>
            </w:r>
          </w:p>
        </w:tc>
        <w:tc>
          <w:tcPr>
            <w:tcW w:w="960" w:type="dxa"/>
          </w:tcPr>
          <w:p w14:paraId="56FC7D44">
            <w:pPr>
              <w:rPr>
                <w:bCs/>
                <w:sz w:val="20"/>
                <w:szCs w:val="20"/>
                <w:lang w:val="ru-RU"/>
              </w:rPr>
            </w:pPr>
            <w:r>
              <w:rPr>
                <w:bCs/>
                <w:sz w:val="20"/>
                <w:szCs w:val="20"/>
                <w:lang w:val="ru-RU"/>
              </w:rPr>
              <w:t>0</w:t>
            </w:r>
          </w:p>
        </w:tc>
        <w:tc>
          <w:tcPr>
            <w:tcW w:w="855" w:type="dxa"/>
          </w:tcPr>
          <w:p w14:paraId="08E5692B">
            <w:pPr>
              <w:rPr>
                <w:bCs/>
                <w:sz w:val="20"/>
                <w:szCs w:val="20"/>
                <w:lang w:val="ru-RU"/>
              </w:rPr>
            </w:pPr>
            <w:r>
              <w:rPr>
                <w:bCs/>
                <w:sz w:val="20"/>
                <w:szCs w:val="20"/>
                <w:lang w:val="ru-RU"/>
              </w:rPr>
              <w:t>0</w:t>
            </w:r>
          </w:p>
        </w:tc>
        <w:tc>
          <w:tcPr>
            <w:tcW w:w="825" w:type="dxa"/>
          </w:tcPr>
          <w:p w14:paraId="0B9D3FC5">
            <w:pPr>
              <w:rPr>
                <w:bCs/>
                <w:sz w:val="20"/>
                <w:szCs w:val="20"/>
                <w:lang w:val="ru-RU"/>
              </w:rPr>
            </w:pPr>
            <w:r>
              <w:rPr>
                <w:bCs/>
                <w:sz w:val="20"/>
                <w:szCs w:val="20"/>
                <w:lang w:val="ru-RU"/>
              </w:rPr>
              <w:t>0</w:t>
            </w:r>
          </w:p>
        </w:tc>
      </w:tr>
    </w:tbl>
    <w:p w14:paraId="753F7C6B">
      <w:pPr>
        <w:spacing w:line="276" w:lineRule="auto"/>
        <w:ind w:firstLine="567"/>
        <w:contextualSpacing/>
        <w:jc w:val="both"/>
        <w:rPr>
          <w:color w:val="FF0000"/>
          <w:sz w:val="28"/>
          <w:szCs w:val="28"/>
          <w:lang w:val="ru-RU"/>
        </w:rPr>
      </w:pPr>
    </w:p>
    <w:p w14:paraId="78416E84">
      <w:pPr>
        <w:spacing w:line="276" w:lineRule="auto"/>
        <w:ind w:firstLine="567"/>
        <w:contextualSpacing/>
        <w:jc w:val="both"/>
        <w:rPr>
          <w:sz w:val="28"/>
          <w:szCs w:val="28"/>
          <w:lang w:val="ru-RU"/>
        </w:rPr>
      </w:pPr>
      <w:r>
        <w:rPr>
          <w:sz w:val="28"/>
          <w:szCs w:val="28"/>
          <w:lang w:val="ru-RU"/>
        </w:rPr>
        <w:t>На территории село Сухарево очагов инфекционных и наиболее опасных заболеваний животных и птицы за 2020-2024 год не выявлено. Случаи заболеваний животных бешенством не зарегистрировано.</w:t>
      </w:r>
    </w:p>
    <w:p w14:paraId="7638204B">
      <w:pPr>
        <w:spacing w:line="276" w:lineRule="auto"/>
        <w:ind w:firstLine="567"/>
        <w:contextualSpacing/>
        <w:jc w:val="both"/>
        <w:rPr>
          <w:sz w:val="28"/>
          <w:szCs w:val="28"/>
          <w:lang w:val="ru-RU"/>
        </w:rPr>
      </w:pPr>
    </w:p>
    <w:p w14:paraId="59F8F22D">
      <w:pPr>
        <w:contextualSpacing/>
        <w:jc w:val="center"/>
        <w:rPr>
          <w:i/>
          <w:sz w:val="28"/>
          <w:szCs w:val="28"/>
          <w:lang w:val="ru-RU"/>
        </w:rPr>
      </w:pPr>
      <w:r>
        <w:rPr>
          <w:i/>
          <w:sz w:val="28"/>
          <w:szCs w:val="28"/>
          <w:lang w:val="ru-RU"/>
        </w:rPr>
        <w:t xml:space="preserve">Эпифитотии </w:t>
      </w:r>
    </w:p>
    <w:p w14:paraId="0857C763">
      <w:pPr>
        <w:ind w:firstLine="567"/>
        <w:contextualSpacing/>
        <w:jc w:val="center"/>
        <w:rPr>
          <w:b/>
          <w:sz w:val="16"/>
          <w:szCs w:val="16"/>
          <w:lang w:val="ru-RU"/>
        </w:rPr>
      </w:pPr>
      <w:r>
        <w:rPr>
          <w:b/>
          <w:sz w:val="24"/>
          <w:szCs w:val="24"/>
          <w:lang w:val="ru-RU"/>
        </w:rPr>
        <w:t>Сведения о распространении наиболее опасных болезней и вредителей сельскохозяйственных растений и леса</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321"/>
        <w:gridCol w:w="3890"/>
        <w:gridCol w:w="1418"/>
        <w:gridCol w:w="1276"/>
        <w:gridCol w:w="1134"/>
        <w:gridCol w:w="988"/>
      </w:tblGrid>
      <w:tr w14:paraId="76F591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21" w:type="dxa"/>
            <w:vMerge w:val="restart"/>
          </w:tcPr>
          <w:p w14:paraId="0C043FE5">
            <w:pPr>
              <w:jc w:val="center"/>
              <w:rPr>
                <w:b/>
                <w:sz w:val="20"/>
                <w:szCs w:val="20"/>
                <w:lang w:val="ru-RU"/>
              </w:rPr>
            </w:pPr>
            <w:r>
              <w:rPr>
                <w:b/>
                <w:sz w:val="20"/>
                <w:szCs w:val="20"/>
                <w:lang w:val="ru-RU"/>
              </w:rPr>
              <w:t>Муниципальный район</w:t>
            </w:r>
          </w:p>
        </w:tc>
        <w:tc>
          <w:tcPr>
            <w:tcW w:w="3890" w:type="dxa"/>
            <w:vMerge w:val="restart"/>
          </w:tcPr>
          <w:p w14:paraId="58CB54F5">
            <w:pPr>
              <w:jc w:val="center"/>
              <w:rPr>
                <w:b/>
                <w:sz w:val="20"/>
                <w:szCs w:val="20"/>
                <w:lang w:val="ru-RU"/>
              </w:rPr>
            </w:pPr>
            <w:r>
              <w:rPr>
                <w:b/>
                <w:sz w:val="20"/>
                <w:szCs w:val="20"/>
                <w:lang w:val="ru-RU"/>
              </w:rPr>
              <w:t xml:space="preserve">Болезни  и вредители сельскохозяйственных растений и леса </w:t>
            </w:r>
          </w:p>
        </w:tc>
        <w:tc>
          <w:tcPr>
            <w:tcW w:w="2694" w:type="dxa"/>
            <w:gridSpan w:val="2"/>
          </w:tcPr>
          <w:p w14:paraId="23FB4956">
            <w:pPr>
              <w:jc w:val="center"/>
              <w:rPr>
                <w:b/>
                <w:sz w:val="20"/>
                <w:szCs w:val="20"/>
                <w:lang w:val="ru-RU"/>
              </w:rPr>
            </w:pPr>
            <w:r>
              <w:rPr>
                <w:b/>
                <w:sz w:val="20"/>
                <w:szCs w:val="20"/>
                <w:lang w:val="ru-RU"/>
              </w:rPr>
              <w:t xml:space="preserve">Количество чрезвычайных ситуаций (очагов, ед.) </w:t>
            </w:r>
          </w:p>
        </w:tc>
        <w:tc>
          <w:tcPr>
            <w:tcW w:w="2122" w:type="dxa"/>
            <w:gridSpan w:val="2"/>
          </w:tcPr>
          <w:p w14:paraId="330A650D">
            <w:pPr>
              <w:jc w:val="center"/>
              <w:rPr>
                <w:b/>
                <w:sz w:val="20"/>
                <w:szCs w:val="20"/>
              </w:rPr>
            </w:pPr>
            <w:r>
              <w:rPr>
                <w:b/>
                <w:sz w:val="20"/>
                <w:szCs w:val="20"/>
              </w:rPr>
              <w:t xml:space="preserve">Площадь очагов, тыс. га </w:t>
            </w:r>
          </w:p>
        </w:tc>
      </w:tr>
      <w:tr w14:paraId="062E56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21" w:type="dxa"/>
            <w:vMerge w:val="continue"/>
          </w:tcPr>
          <w:p w14:paraId="7CB60EAC">
            <w:pPr>
              <w:jc w:val="center"/>
              <w:rPr>
                <w:b/>
                <w:sz w:val="20"/>
                <w:szCs w:val="20"/>
              </w:rPr>
            </w:pPr>
          </w:p>
        </w:tc>
        <w:tc>
          <w:tcPr>
            <w:tcW w:w="3890" w:type="dxa"/>
            <w:vMerge w:val="continue"/>
          </w:tcPr>
          <w:p w14:paraId="443A75D0">
            <w:pPr>
              <w:jc w:val="center"/>
              <w:rPr>
                <w:b/>
                <w:sz w:val="20"/>
                <w:szCs w:val="20"/>
              </w:rPr>
            </w:pPr>
          </w:p>
        </w:tc>
        <w:tc>
          <w:tcPr>
            <w:tcW w:w="1418" w:type="dxa"/>
          </w:tcPr>
          <w:p w14:paraId="1E52D8FE">
            <w:pPr>
              <w:jc w:val="center"/>
              <w:rPr>
                <w:b/>
                <w:sz w:val="20"/>
                <w:szCs w:val="20"/>
              </w:rPr>
            </w:pPr>
            <w:r>
              <w:rPr>
                <w:b/>
                <w:sz w:val="20"/>
                <w:szCs w:val="20"/>
              </w:rPr>
              <w:t>20</w:t>
            </w:r>
            <w:r>
              <w:rPr>
                <w:b/>
                <w:sz w:val="20"/>
                <w:szCs w:val="20"/>
                <w:lang w:val="ru-RU"/>
              </w:rPr>
              <w:t>23</w:t>
            </w:r>
            <w:r>
              <w:rPr>
                <w:b/>
                <w:sz w:val="20"/>
                <w:szCs w:val="20"/>
              </w:rPr>
              <w:t>г</w:t>
            </w:r>
          </w:p>
        </w:tc>
        <w:tc>
          <w:tcPr>
            <w:tcW w:w="1276" w:type="dxa"/>
          </w:tcPr>
          <w:p w14:paraId="256B3DFF">
            <w:pPr>
              <w:jc w:val="center"/>
              <w:rPr>
                <w:b/>
                <w:sz w:val="20"/>
                <w:szCs w:val="20"/>
                <w:lang w:val="ru-RU"/>
              </w:rPr>
            </w:pPr>
            <w:r>
              <w:rPr>
                <w:b/>
                <w:sz w:val="20"/>
                <w:szCs w:val="20"/>
              </w:rPr>
              <w:t>20</w:t>
            </w:r>
            <w:r>
              <w:rPr>
                <w:b/>
                <w:sz w:val="20"/>
                <w:szCs w:val="20"/>
                <w:lang w:val="ru-RU"/>
              </w:rPr>
              <w:t>24</w:t>
            </w:r>
            <w:r>
              <w:rPr>
                <w:b/>
                <w:sz w:val="20"/>
                <w:szCs w:val="20"/>
              </w:rPr>
              <w:t>г</w:t>
            </w:r>
          </w:p>
        </w:tc>
        <w:tc>
          <w:tcPr>
            <w:tcW w:w="1134" w:type="dxa"/>
          </w:tcPr>
          <w:p w14:paraId="711798DE">
            <w:pPr>
              <w:jc w:val="center"/>
              <w:rPr>
                <w:b/>
                <w:sz w:val="20"/>
                <w:szCs w:val="20"/>
              </w:rPr>
            </w:pPr>
            <w:r>
              <w:rPr>
                <w:b/>
                <w:sz w:val="20"/>
                <w:szCs w:val="20"/>
              </w:rPr>
              <w:t>20</w:t>
            </w:r>
            <w:r>
              <w:rPr>
                <w:b/>
                <w:sz w:val="20"/>
                <w:szCs w:val="20"/>
                <w:lang w:val="ru-RU"/>
              </w:rPr>
              <w:t>23</w:t>
            </w:r>
            <w:r>
              <w:rPr>
                <w:b/>
                <w:sz w:val="20"/>
                <w:szCs w:val="20"/>
              </w:rPr>
              <w:t>г</w:t>
            </w:r>
          </w:p>
        </w:tc>
        <w:tc>
          <w:tcPr>
            <w:tcW w:w="988" w:type="dxa"/>
          </w:tcPr>
          <w:p w14:paraId="090C4781">
            <w:pPr>
              <w:jc w:val="center"/>
              <w:rPr>
                <w:b/>
                <w:sz w:val="20"/>
                <w:szCs w:val="20"/>
              </w:rPr>
            </w:pPr>
            <w:r>
              <w:rPr>
                <w:b/>
                <w:sz w:val="20"/>
                <w:szCs w:val="20"/>
              </w:rPr>
              <w:t>20</w:t>
            </w:r>
            <w:r>
              <w:rPr>
                <w:b/>
                <w:sz w:val="20"/>
                <w:szCs w:val="20"/>
                <w:lang w:val="ru-RU"/>
              </w:rPr>
              <w:t>24</w:t>
            </w:r>
            <w:r>
              <w:rPr>
                <w:b/>
                <w:sz w:val="20"/>
                <w:szCs w:val="20"/>
              </w:rPr>
              <w:t>г</w:t>
            </w:r>
          </w:p>
        </w:tc>
      </w:tr>
      <w:tr w14:paraId="3E982F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21" w:type="dxa"/>
            <w:vMerge w:val="restart"/>
          </w:tcPr>
          <w:p w14:paraId="3564986A">
            <w:pPr>
              <w:jc w:val="center"/>
              <w:rPr>
                <w:sz w:val="20"/>
                <w:szCs w:val="20"/>
              </w:rPr>
            </w:pPr>
            <w:r>
              <w:rPr>
                <w:sz w:val="20"/>
                <w:szCs w:val="20"/>
              </w:rPr>
              <w:t>село Сухарево</w:t>
            </w:r>
          </w:p>
        </w:tc>
        <w:tc>
          <w:tcPr>
            <w:tcW w:w="3890" w:type="dxa"/>
          </w:tcPr>
          <w:p w14:paraId="2FDAC411">
            <w:pPr>
              <w:rPr>
                <w:sz w:val="20"/>
                <w:szCs w:val="20"/>
              </w:rPr>
            </w:pPr>
            <w:r>
              <w:rPr>
                <w:sz w:val="20"/>
                <w:szCs w:val="20"/>
              </w:rPr>
              <w:t>Болезни сельскохозяйственных растений</w:t>
            </w:r>
          </w:p>
        </w:tc>
        <w:tc>
          <w:tcPr>
            <w:tcW w:w="1418" w:type="dxa"/>
            <w:vAlign w:val="center"/>
          </w:tcPr>
          <w:p w14:paraId="3565B92A">
            <w:pPr>
              <w:jc w:val="center"/>
              <w:rPr>
                <w:sz w:val="20"/>
                <w:szCs w:val="20"/>
                <w:lang w:val="ru-RU"/>
              </w:rPr>
            </w:pPr>
            <w:r>
              <w:rPr>
                <w:sz w:val="20"/>
                <w:szCs w:val="20"/>
                <w:lang w:val="ru-RU"/>
              </w:rPr>
              <w:t>-</w:t>
            </w:r>
          </w:p>
        </w:tc>
        <w:tc>
          <w:tcPr>
            <w:tcW w:w="1276" w:type="dxa"/>
          </w:tcPr>
          <w:p w14:paraId="54B8715E">
            <w:pPr>
              <w:jc w:val="center"/>
              <w:rPr>
                <w:sz w:val="20"/>
                <w:szCs w:val="20"/>
                <w:lang w:val="ru-RU"/>
              </w:rPr>
            </w:pPr>
            <w:r>
              <w:rPr>
                <w:sz w:val="20"/>
                <w:szCs w:val="20"/>
                <w:lang w:val="ru-RU"/>
              </w:rPr>
              <w:t>-</w:t>
            </w:r>
          </w:p>
        </w:tc>
        <w:tc>
          <w:tcPr>
            <w:tcW w:w="1134" w:type="dxa"/>
          </w:tcPr>
          <w:p w14:paraId="0F67CF8B">
            <w:pPr>
              <w:jc w:val="center"/>
              <w:rPr>
                <w:sz w:val="20"/>
                <w:szCs w:val="20"/>
                <w:lang w:val="ru-RU"/>
              </w:rPr>
            </w:pPr>
            <w:r>
              <w:rPr>
                <w:sz w:val="20"/>
                <w:szCs w:val="20"/>
                <w:lang w:val="ru-RU"/>
              </w:rPr>
              <w:t>-</w:t>
            </w:r>
          </w:p>
        </w:tc>
        <w:tc>
          <w:tcPr>
            <w:tcW w:w="988" w:type="dxa"/>
            <w:vAlign w:val="center"/>
          </w:tcPr>
          <w:p w14:paraId="1D3CC9B0">
            <w:pPr>
              <w:jc w:val="center"/>
              <w:rPr>
                <w:sz w:val="20"/>
                <w:szCs w:val="20"/>
                <w:lang w:val="ru-RU"/>
              </w:rPr>
            </w:pPr>
            <w:r>
              <w:rPr>
                <w:sz w:val="20"/>
                <w:szCs w:val="20"/>
                <w:lang w:val="ru-RU"/>
              </w:rPr>
              <w:t>-</w:t>
            </w:r>
          </w:p>
        </w:tc>
      </w:tr>
      <w:tr w14:paraId="5BE063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21" w:type="dxa"/>
            <w:vMerge w:val="continue"/>
          </w:tcPr>
          <w:p w14:paraId="13D8297A">
            <w:pPr>
              <w:jc w:val="center"/>
              <w:rPr>
                <w:sz w:val="20"/>
                <w:szCs w:val="20"/>
              </w:rPr>
            </w:pPr>
          </w:p>
        </w:tc>
        <w:tc>
          <w:tcPr>
            <w:tcW w:w="3890" w:type="dxa"/>
          </w:tcPr>
          <w:p w14:paraId="2791C30B">
            <w:pPr>
              <w:rPr>
                <w:sz w:val="20"/>
                <w:szCs w:val="20"/>
              </w:rPr>
            </w:pPr>
            <w:r>
              <w:rPr>
                <w:sz w:val="20"/>
                <w:szCs w:val="20"/>
              </w:rPr>
              <w:t>Вредители сельскохозяйственных растений</w:t>
            </w:r>
          </w:p>
        </w:tc>
        <w:tc>
          <w:tcPr>
            <w:tcW w:w="1418" w:type="dxa"/>
            <w:vAlign w:val="center"/>
          </w:tcPr>
          <w:p w14:paraId="14434998">
            <w:pPr>
              <w:jc w:val="center"/>
              <w:rPr>
                <w:sz w:val="20"/>
                <w:szCs w:val="20"/>
                <w:lang w:val="ru-RU"/>
              </w:rPr>
            </w:pPr>
            <w:r>
              <w:rPr>
                <w:sz w:val="20"/>
                <w:szCs w:val="20"/>
                <w:lang w:val="ru-RU"/>
              </w:rPr>
              <w:t>-</w:t>
            </w:r>
          </w:p>
        </w:tc>
        <w:tc>
          <w:tcPr>
            <w:tcW w:w="1276" w:type="dxa"/>
          </w:tcPr>
          <w:p w14:paraId="7338989B">
            <w:pPr>
              <w:jc w:val="center"/>
              <w:rPr>
                <w:sz w:val="20"/>
                <w:szCs w:val="20"/>
                <w:lang w:val="ru-RU"/>
              </w:rPr>
            </w:pPr>
            <w:r>
              <w:rPr>
                <w:sz w:val="20"/>
                <w:szCs w:val="20"/>
                <w:lang w:val="ru-RU"/>
              </w:rPr>
              <w:t>-</w:t>
            </w:r>
          </w:p>
        </w:tc>
        <w:tc>
          <w:tcPr>
            <w:tcW w:w="1134" w:type="dxa"/>
          </w:tcPr>
          <w:p w14:paraId="7FD693DE">
            <w:pPr>
              <w:jc w:val="center"/>
              <w:rPr>
                <w:sz w:val="20"/>
                <w:szCs w:val="20"/>
                <w:lang w:val="ru-RU"/>
              </w:rPr>
            </w:pPr>
            <w:r>
              <w:rPr>
                <w:sz w:val="20"/>
                <w:szCs w:val="20"/>
                <w:lang w:val="ru-RU"/>
              </w:rPr>
              <w:t>-</w:t>
            </w:r>
          </w:p>
        </w:tc>
        <w:tc>
          <w:tcPr>
            <w:tcW w:w="988" w:type="dxa"/>
            <w:vAlign w:val="center"/>
          </w:tcPr>
          <w:p w14:paraId="29BB2F31">
            <w:pPr>
              <w:jc w:val="center"/>
              <w:rPr>
                <w:sz w:val="20"/>
                <w:szCs w:val="20"/>
                <w:lang w:val="ru-RU"/>
              </w:rPr>
            </w:pPr>
            <w:r>
              <w:rPr>
                <w:sz w:val="20"/>
                <w:szCs w:val="20"/>
                <w:lang w:val="ru-RU"/>
              </w:rPr>
              <w:t>-</w:t>
            </w:r>
          </w:p>
        </w:tc>
      </w:tr>
      <w:tr w14:paraId="396A3A1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21" w:type="dxa"/>
            <w:vMerge w:val="continue"/>
          </w:tcPr>
          <w:p w14:paraId="188D4464">
            <w:pPr>
              <w:jc w:val="center"/>
              <w:rPr>
                <w:color w:val="FF0000"/>
                <w:sz w:val="20"/>
                <w:szCs w:val="20"/>
              </w:rPr>
            </w:pPr>
          </w:p>
        </w:tc>
        <w:tc>
          <w:tcPr>
            <w:tcW w:w="3890" w:type="dxa"/>
          </w:tcPr>
          <w:p w14:paraId="61B6F570">
            <w:pPr>
              <w:rPr>
                <w:b/>
                <w:sz w:val="20"/>
                <w:szCs w:val="20"/>
              </w:rPr>
            </w:pPr>
            <w:r>
              <w:rPr>
                <w:sz w:val="20"/>
                <w:szCs w:val="20"/>
              </w:rPr>
              <w:t>Болезни леса</w:t>
            </w:r>
          </w:p>
        </w:tc>
        <w:tc>
          <w:tcPr>
            <w:tcW w:w="1418" w:type="dxa"/>
            <w:vAlign w:val="center"/>
          </w:tcPr>
          <w:p w14:paraId="638232B1">
            <w:pPr>
              <w:jc w:val="center"/>
              <w:rPr>
                <w:sz w:val="20"/>
                <w:szCs w:val="20"/>
                <w:lang w:val="ru-RU"/>
              </w:rPr>
            </w:pPr>
            <w:r>
              <w:rPr>
                <w:sz w:val="20"/>
                <w:szCs w:val="20"/>
                <w:lang w:val="ru-RU"/>
              </w:rPr>
              <w:t>-</w:t>
            </w:r>
          </w:p>
        </w:tc>
        <w:tc>
          <w:tcPr>
            <w:tcW w:w="1276" w:type="dxa"/>
          </w:tcPr>
          <w:p w14:paraId="188FEF5E">
            <w:pPr>
              <w:jc w:val="center"/>
              <w:rPr>
                <w:sz w:val="20"/>
                <w:szCs w:val="20"/>
                <w:lang w:val="ru-RU"/>
              </w:rPr>
            </w:pPr>
            <w:r>
              <w:rPr>
                <w:sz w:val="20"/>
                <w:szCs w:val="20"/>
                <w:lang w:val="ru-RU"/>
              </w:rPr>
              <w:t>-</w:t>
            </w:r>
          </w:p>
        </w:tc>
        <w:tc>
          <w:tcPr>
            <w:tcW w:w="1134" w:type="dxa"/>
          </w:tcPr>
          <w:p w14:paraId="12666994">
            <w:pPr>
              <w:jc w:val="center"/>
              <w:rPr>
                <w:sz w:val="20"/>
                <w:szCs w:val="20"/>
                <w:lang w:val="ru-RU"/>
              </w:rPr>
            </w:pPr>
            <w:r>
              <w:rPr>
                <w:sz w:val="20"/>
                <w:szCs w:val="20"/>
                <w:lang w:val="ru-RU"/>
              </w:rPr>
              <w:t>-</w:t>
            </w:r>
          </w:p>
        </w:tc>
        <w:tc>
          <w:tcPr>
            <w:tcW w:w="988" w:type="dxa"/>
            <w:vAlign w:val="center"/>
          </w:tcPr>
          <w:p w14:paraId="27E43CCA">
            <w:pPr>
              <w:jc w:val="center"/>
              <w:rPr>
                <w:sz w:val="20"/>
                <w:szCs w:val="20"/>
                <w:lang w:val="ru-RU"/>
              </w:rPr>
            </w:pPr>
            <w:r>
              <w:rPr>
                <w:sz w:val="20"/>
                <w:szCs w:val="20"/>
                <w:lang w:val="ru-RU"/>
              </w:rPr>
              <w:t>-</w:t>
            </w:r>
          </w:p>
        </w:tc>
      </w:tr>
      <w:tr w14:paraId="3DD53C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21" w:type="dxa"/>
            <w:vMerge w:val="continue"/>
          </w:tcPr>
          <w:p w14:paraId="2AF5B59E">
            <w:pPr>
              <w:jc w:val="center"/>
              <w:rPr>
                <w:color w:val="FF0000"/>
                <w:sz w:val="20"/>
                <w:szCs w:val="20"/>
              </w:rPr>
            </w:pPr>
          </w:p>
        </w:tc>
        <w:tc>
          <w:tcPr>
            <w:tcW w:w="3890" w:type="dxa"/>
          </w:tcPr>
          <w:p w14:paraId="18200148">
            <w:pPr>
              <w:rPr>
                <w:b/>
                <w:sz w:val="20"/>
                <w:szCs w:val="20"/>
              </w:rPr>
            </w:pPr>
            <w:r>
              <w:rPr>
                <w:sz w:val="20"/>
                <w:szCs w:val="20"/>
              </w:rPr>
              <w:t>Вредители леса</w:t>
            </w:r>
          </w:p>
        </w:tc>
        <w:tc>
          <w:tcPr>
            <w:tcW w:w="1418" w:type="dxa"/>
            <w:vAlign w:val="center"/>
          </w:tcPr>
          <w:p w14:paraId="12A593DC">
            <w:pPr>
              <w:jc w:val="center"/>
              <w:rPr>
                <w:sz w:val="20"/>
                <w:szCs w:val="20"/>
                <w:lang w:val="ru-RU"/>
              </w:rPr>
            </w:pPr>
            <w:r>
              <w:rPr>
                <w:sz w:val="20"/>
                <w:szCs w:val="20"/>
                <w:lang w:val="ru-RU"/>
              </w:rPr>
              <w:t>-</w:t>
            </w:r>
          </w:p>
        </w:tc>
        <w:tc>
          <w:tcPr>
            <w:tcW w:w="1276" w:type="dxa"/>
          </w:tcPr>
          <w:p w14:paraId="43AE0158">
            <w:pPr>
              <w:jc w:val="center"/>
              <w:rPr>
                <w:sz w:val="20"/>
                <w:szCs w:val="20"/>
                <w:lang w:val="ru-RU"/>
              </w:rPr>
            </w:pPr>
            <w:r>
              <w:rPr>
                <w:sz w:val="20"/>
                <w:szCs w:val="20"/>
                <w:lang w:val="ru-RU"/>
              </w:rPr>
              <w:t>-</w:t>
            </w:r>
          </w:p>
        </w:tc>
        <w:tc>
          <w:tcPr>
            <w:tcW w:w="1134" w:type="dxa"/>
          </w:tcPr>
          <w:p w14:paraId="2B1DF44D">
            <w:pPr>
              <w:jc w:val="center"/>
              <w:rPr>
                <w:sz w:val="20"/>
                <w:szCs w:val="20"/>
                <w:lang w:val="ru-RU"/>
              </w:rPr>
            </w:pPr>
            <w:r>
              <w:rPr>
                <w:sz w:val="20"/>
                <w:szCs w:val="20"/>
                <w:lang w:val="ru-RU"/>
              </w:rPr>
              <w:t>-</w:t>
            </w:r>
          </w:p>
        </w:tc>
        <w:tc>
          <w:tcPr>
            <w:tcW w:w="988" w:type="dxa"/>
            <w:vAlign w:val="center"/>
          </w:tcPr>
          <w:p w14:paraId="57A5CBA1">
            <w:pPr>
              <w:jc w:val="center"/>
              <w:rPr>
                <w:sz w:val="20"/>
                <w:szCs w:val="20"/>
                <w:lang w:val="ru-RU"/>
              </w:rPr>
            </w:pPr>
            <w:r>
              <w:rPr>
                <w:sz w:val="20"/>
                <w:szCs w:val="20"/>
                <w:lang w:val="ru-RU"/>
              </w:rPr>
              <w:t>-</w:t>
            </w:r>
          </w:p>
        </w:tc>
      </w:tr>
    </w:tbl>
    <w:p w14:paraId="255B8791">
      <w:pPr>
        <w:spacing w:line="276" w:lineRule="auto"/>
        <w:ind w:firstLine="567"/>
        <w:contextualSpacing/>
        <w:jc w:val="both"/>
        <w:rPr>
          <w:color w:val="FF0000"/>
          <w:sz w:val="28"/>
          <w:szCs w:val="28"/>
          <w:lang w:val="ru-RU"/>
        </w:rPr>
      </w:pPr>
    </w:p>
    <w:p w14:paraId="3F807AE2">
      <w:pPr>
        <w:pStyle w:val="3"/>
        <w:numPr>
          <w:ilvl w:val="1"/>
          <w:numId w:val="6"/>
        </w:numPr>
        <w:shd w:val="clear" w:color="auto" w:fill="FFFFFF"/>
        <w:spacing w:before="240" w:after="240" w:line="317" w:lineRule="exact"/>
        <w:ind w:left="0" w:firstLine="284"/>
        <w:jc w:val="center"/>
        <w:rPr>
          <w:rFonts w:ascii="Times New Roman" w:hAnsi="Times New Roman"/>
          <w:color w:val="auto"/>
          <w:sz w:val="28"/>
          <w:lang w:val="ru-RU"/>
        </w:rPr>
      </w:pPr>
      <w:r>
        <w:rPr>
          <w:rFonts w:ascii="Times New Roman" w:hAnsi="Times New Roman"/>
          <w:color w:val="auto"/>
          <w:sz w:val="28"/>
          <w:lang w:val="ru-RU"/>
        </w:rPr>
        <w:t>Перечень мероприятий по обеспечению пожарной безопасности</w:t>
      </w:r>
    </w:p>
    <w:p w14:paraId="3FF4DF5E">
      <w:pPr>
        <w:spacing w:line="276" w:lineRule="auto"/>
        <w:ind w:firstLine="567"/>
        <w:contextualSpacing/>
        <w:jc w:val="both"/>
        <w:rPr>
          <w:sz w:val="28"/>
          <w:szCs w:val="28"/>
          <w:lang w:val="ru-RU"/>
        </w:rPr>
      </w:pPr>
      <w:r>
        <w:rPr>
          <w:sz w:val="28"/>
          <w:szCs w:val="28"/>
          <w:lang w:val="ru-RU"/>
        </w:rPr>
        <w:t>Чрезвычайные ситуации, связанные с возникновением пожаров на территории Валуйского муниципального округа, могут возникнуть:</w:t>
      </w:r>
    </w:p>
    <w:p w14:paraId="690195AC">
      <w:pPr>
        <w:pStyle w:val="50"/>
        <w:widowControl/>
        <w:numPr>
          <w:ilvl w:val="0"/>
          <w:numId w:val="12"/>
        </w:numPr>
        <w:autoSpaceDE/>
        <w:autoSpaceDN/>
        <w:spacing w:after="200" w:line="276" w:lineRule="auto"/>
        <w:contextualSpacing/>
        <w:jc w:val="both"/>
        <w:rPr>
          <w:sz w:val="28"/>
          <w:szCs w:val="28"/>
          <w:lang w:val="ru-RU"/>
        </w:rPr>
      </w:pPr>
      <w:r>
        <w:rPr>
          <w:sz w:val="28"/>
          <w:szCs w:val="28"/>
          <w:lang w:val="ru-RU"/>
        </w:rPr>
        <w:t>на территориях, прилегающих к лесному участку;</w:t>
      </w:r>
    </w:p>
    <w:p w14:paraId="5A2A78E6">
      <w:pPr>
        <w:pStyle w:val="50"/>
        <w:widowControl/>
        <w:numPr>
          <w:ilvl w:val="0"/>
          <w:numId w:val="12"/>
        </w:numPr>
        <w:autoSpaceDE/>
        <w:autoSpaceDN/>
        <w:spacing w:after="200" w:line="276" w:lineRule="auto"/>
        <w:contextualSpacing/>
        <w:jc w:val="both"/>
        <w:rPr>
          <w:sz w:val="28"/>
          <w:szCs w:val="28"/>
          <w:lang w:val="ru-RU"/>
        </w:rPr>
      </w:pPr>
      <w:r>
        <w:rPr>
          <w:sz w:val="28"/>
          <w:szCs w:val="28"/>
          <w:lang w:val="ru-RU"/>
        </w:rPr>
        <w:t>на объектах социально-бытового назначения.</w:t>
      </w:r>
    </w:p>
    <w:p w14:paraId="55E213EE">
      <w:pPr>
        <w:spacing w:line="276" w:lineRule="auto"/>
        <w:ind w:firstLine="567"/>
        <w:contextualSpacing/>
        <w:jc w:val="both"/>
        <w:rPr>
          <w:sz w:val="28"/>
          <w:szCs w:val="28"/>
          <w:lang w:val="ru-RU"/>
        </w:rPr>
      </w:pPr>
      <w:r>
        <w:rPr>
          <w:sz w:val="28"/>
          <w:szCs w:val="28"/>
          <w:lang w:val="ru-RU"/>
        </w:rPr>
        <w:t>В соответствии с требованиями Постановления Правительства Российской Федерации от 16.09.2020 №1479 и изм. от 21.05.2021г. «Об утверждении</w:t>
      </w:r>
      <w:r>
        <w:rPr>
          <w:sz w:val="28"/>
          <w:szCs w:val="28"/>
        </w:rPr>
        <w:t> </w:t>
      </w:r>
      <w:r>
        <w:fldChar w:fldCharType="begin"/>
      </w:r>
      <w:r>
        <w:instrText xml:space="preserve"> HYPERLINK "https://docs.cntd.ru/document/565837297" \l "6520IM" </w:instrText>
      </w:r>
      <w:r>
        <w:fldChar w:fldCharType="separate"/>
      </w:r>
      <w:r>
        <w:rPr>
          <w:sz w:val="28"/>
          <w:szCs w:val="28"/>
          <w:lang w:val="ru-RU"/>
        </w:rPr>
        <w:t>Правил противопожарного режима в Российской Федерации</w:t>
      </w:r>
      <w:r>
        <w:rPr>
          <w:sz w:val="28"/>
          <w:szCs w:val="28"/>
          <w:lang w:val="ru-RU"/>
        </w:rPr>
        <w:fldChar w:fldCharType="end"/>
      </w:r>
      <w:r>
        <w:rPr>
          <w:sz w:val="28"/>
          <w:szCs w:val="28"/>
          <w:lang w:val="ru-RU"/>
        </w:rPr>
        <w:t>»:</w:t>
      </w:r>
    </w:p>
    <w:p w14:paraId="71D00E8F">
      <w:pPr>
        <w:pStyle w:val="190"/>
        <w:numPr>
          <w:ilvl w:val="0"/>
          <w:numId w:val="13"/>
        </w:numPr>
        <w:spacing w:line="276" w:lineRule="auto"/>
        <w:ind w:left="142" w:firstLine="785"/>
        <w:rPr>
          <w:sz w:val="28"/>
          <w:szCs w:val="28"/>
          <w:lang w:val="ru-RU" w:eastAsia="ru-RU" w:bidi="ar-SA"/>
        </w:rPr>
      </w:pPr>
      <w:r>
        <w:rPr>
          <w:sz w:val="28"/>
          <w:szCs w:val="28"/>
          <w:lang w:val="ru-RU" w:eastAsia="ru-RU" w:bidi="ar-SA"/>
        </w:rPr>
        <w:t>на территориях поселений и населенных пунктов в период со дня схода снежного покрова до установления устойчивой дождливой осенней погоды или образования снежного покрова органы государственной власти, органы местного самоуправления, учреждения, организации, иные юридические лица независимо от их организационно-правовых форм и форм собственности, крестьянские (фермерские) хозяйства, общественные объединения, индивидуальные предприниматели, должностные лица, граждане Российской Федерации, иностранные граждане, лица без гражданства, владеющие, пользующиеся и(или) распоряжающиеся территорией, прилегающей к лесу, обеспечивают ее очистку от сухой травянистой растительности, пожнивных остатков, валежника, порубочных остатков, мусора и других горючих материалов на полосе шириной не менее 10 метров от леса либо отделяют лес противопожарной минерализованной полосой шириной не менее 0,5 метра или иным противопожарным барьером;</w:t>
      </w:r>
    </w:p>
    <w:p w14:paraId="2587BBDA">
      <w:pPr>
        <w:pStyle w:val="190"/>
        <w:numPr>
          <w:ilvl w:val="0"/>
          <w:numId w:val="13"/>
        </w:numPr>
        <w:spacing w:line="276" w:lineRule="auto"/>
        <w:ind w:left="142" w:firstLine="785"/>
        <w:rPr>
          <w:sz w:val="28"/>
          <w:szCs w:val="28"/>
          <w:lang w:val="ru-RU" w:eastAsia="ru-RU" w:bidi="ar-SA"/>
        </w:rPr>
      </w:pPr>
      <w:r>
        <w:rPr>
          <w:sz w:val="28"/>
          <w:szCs w:val="28"/>
          <w:lang w:val="ru-RU" w:eastAsia="ru-RU" w:bidi="ar-SA"/>
        </w:rPr>
        <w:t>на территории поселений, городских округов и внутригородских муниципальных образований, а также на расстоянии менее 1000 метров от лесов запрещается запускать неуправляемые изделия из горючих. материалов, принцип подъема которых на высоту основан на нагревании воздуха внутри конструкции с помощью открытого огня;</w:t>
      </w:r>
    </w:p>
    <w:p w14:paraId="5484B3DA">
      <w:pPr>
        <w:pStyle w:val="190"/>
        <w:numPr>
          <w:ilvl w:val="0"/>
          <w:numId w:val="13"/>
        </w:numPr>
        <w:spacing w:line="276" w:lineRule="auto"/>
        <w:ind w:left="142" w:firstLine="785"/>
        <w:rPr>
          <w:sz w:val="28"/>
          <w:szCs w:val="28"/>
          <w:lang w:val="ru-RU" w:eastAsia="ru-RU" w:bidi="ar-SA"/>
        </w:rPr>
      </w:pPr>
      <w:r>
        <w:rPr>
          <w:sz w:val="28"/>
          <w:szCs w:val="28"/>
          <w:lang w:val="ru-RU" w:eastAsia="ru-RU" w:bidi="ar-SA"/>
        </w:rPr>
        <w:t>на объектах защиты, граничащих с лесничествами, а также расположенных в районах с торфяными почвами, предусматривается создание защитных противопожарных минерализованных полос шириной не менее 1,5 метра, противопожарных расстояний, удаление (сбор) в летний период сухой растительности, поросли, кустарников и осуществление других мероприятий, предупреждающих распространение огня при природных пожарах. Противопожарные минерализованные полосы не должны препятствовать проезду к населенным пунктам и водоисточникам в целях пожаротушения;</w:t>
      </w:r>
    </w:p>
    <w:p w14:paraId="2F165319">
      <w:pPr>
        <w:pStyle w:val="190"/>
        <w:numPr>
          <w:ilvl w:val="0"/>
          <w:numId w:val="13"/>
        </w:numPr>
        <w:spacing w:line="276" w:lineRule="auto"/>
        <w:ind w:left="142" w:firstLine="785"/>
        <w:rPr>
          <w:sz w:val="28"/>
          <w:szCs w:val="28"/>
          <w:lang w:val="ru-RU" w:eastAsia="ru-RU" w:bidi="ar-SA"/>
        </w:rPr>
      </w:pPr>
      <w:r>
        <w:rPr>
          <w:sz w:val="28"/>
          <w:szCs w:val="28"/>
          <w:lang w:val="ru-RU" w:eastAsia="ru-RU" w:bidi="ar-SA"/>
        </w:rPr>
        <w:t>запрещается использовать противопожарные минерализованные полосы и противопожарные расстояния для строительства различных сооружений и подсобных строений, ведения сельскохозяйственных работ, для складирования горючих материалов, мусора, бытовых отходов, а также отходов древесных, строительных и других горючих материалов.</w:t>
      </w:r>
    </w:p>
    <w:p w14:paraId="1F403349">
      <w:pPr>
        <w:spacing w:line="276" w:lineRule="auto"/>
        <w:ind w:firstLine="567"/>
        <w:contextualSpacing/>
        <w:jc w:val="both"/>
        <w:rPr>
          <w:color w:val="4F81BD" w:themeColor="accent1"/>
          <w:sz w:val="28"/>
          <w:szCs w:val="28"/>
          <w:lang w:val="ru-RU"/>
          <w14:textFill>
            <w14:solidFill>
              <w14:schemeClr w14:val="accent1"/>
            </w14:solidFill>
          </w14:textFill>
        </w:rPr>
      </w:pPr>
    </w:p>
    <w:p w14:paraId="276FE3C6">
      <w:pPr>
        <w:spacing w:line="276" w:lineRule="auto"/>
        <w:ind w:firstLine="567"/>
        <w:contextualSpacing/>
        <w:jc w:val="both"/>
        <w:rPr>
          <w:sz w:val="28"/>
          <w:szCs w:val="28"/>
          <w:lang w:val="ru-RU"/>
        </w:rPr>
      </w:pPr>
      <w:r>
        <w:rPr>
          <w:sz w:val="28"/>
          <w:szCs w:val="28"/>
          <w:lang w:val="ru-RU"/>
        </w:rPr>
        <w:t>В соответствии с требованиями ГОСТ Р 57972-2017 «Объекты противопожарного обустройства лесов»:</w:t>
      </w:r>
    </w:p>
    <w:p w14:paraId="0269805A">
      <w:pPr>
        <w:spacing w:line="276" w:lineRule="auto"/>
        <w:ind w:firstLine="567"/>
        <w:contextualSpacing/>
        <w:jc w:val="both"/>
        <w:rPr>
          <w:sz w:val="28"/>
          <w:szCs w:val="28"/>
          <w:lang w:val="ru-RU"/>
        </w:rPr>
      </w:pPr>
      <w:r>
        <w:rPr>
          <w:sz w:val="28"/>
          <w:szCs w:val="28"/>
          <w:lang w:val="ru-RU"/>
        </w:rPr>
        <w:t>- минерализованные полосы, линейные участки территории, очищенные от растительных горючих материалов до минерального слоя почвы или обработанные почвообрабатывающими орудиями или иным способом, могут быть самостоятельным противопожарным барьером или входить в состав более сложного противопожарного барьера в качестве его элемента.</w:t>
      </w:r>
      <w:r>
        <w:rPr>
          <w:sz w:val="28"/>
          <w:szCs w:val="28"/>
        </w:rPr>
        <w:t> </w:t>
      </w:r>
      <w:r>
        <w:rPr>
          <w:sz w:val="28"/>
          <w:szCs w:val="28"/>
          <w:lang w:val="ru-RU"/>
        </w:rPr>
        <w:t xml:space="preserve">Ширина противопожарных минерализованных полос составляет 0,3-9 м в зависимости от способа их создания с учетом возможного характера и интенсивности распространения пожаров, почвенных и лесорастительных условий, степени природной и фактической пожарной опасности участка леса. Устройство противопожарных минерализованных полос вдоль склонов минимизируют или исключают во избежание развития эрозионных процессов; </w:t>
      </w:r>
    </w:p>
    <w:p w14:paraId="2605C418">
      <w:pPr>
        <w:spacing w:line="276" w:lineRule="auto"/>
        <w:ind w:firstLine="567"/>
        <w:contextualSpacing/>
        <w:jc w:val="both"/>
        <w:rPr>
          <w:sz w:val="28"/>
          <w:szCs w:val="28"/>
          <w:lang w:val="ru-RU"/>
        </w:rPr>
      </w:pPr>
      <w:r>
        <w:rPr>
          <w:sz w:val="28"/>
          <w:szCs w:val="28"/>
          <w:lang w:val="ru-RU"/>
        </w:rPr>
        <w:t>- основными показателями качества противопожарных минерализованных полос являются минерализация (по допустимым размерам необработанных участков поверхности почвы) и степень заделки грунтом. Допустимая длина необработанных участков поверхности почвы должна быть не более 3% на каждые 100 м длины противопожарной минерализованной полосы в зависимости от степени природной пожарной опасности участка. Допустимая степень заделки растительных остатков на противопожарной минерализованной полосе должна быть не менее 90% в зависимости от степени природной пожарной опасности участка.</w:t>
      </w:r>
    </w:p>
    <w:p w14:paraId="2812C4FD">
      <w:pPr>
        <w:spacing w:line="276" w:lineRule="auto"/>
        <w:ind w:firstLine="567"/>
        <w:contextualSpacing/>
        <w:jc w:val="both"/>
        <w:rPr>
          <w:sz w:val="28"/>
          <w:szCs w:val="28"/>
          <w:lang w:val="ru-RU"/>
        </w:rPr>
      </w:pPr>
    </w:p>
    <w:p w14:paraId="0833E682">
      <w:pPr>
        <w:spacing w:line="276" w:lineRule="auto"/>
        <w:ind w:firstLine="567"/>
        <w:contextualSpacing/>
        <w:jc w:val="both"/>
        <w:rPr>
          <w:sz w:val="28"/>
          <w:szCs w:val="28"/>
          <w:lang w:val="ru-RU"/>
        </w:rPr>
      </w:pPr>
      <w:r>
        <w:rPr>
          <w:sz w:val="28"/>
          <w:szCs w:val="28"/>
          <w:lang w:val="ru-RU"/>
        </w:rPr>
        <w:t xml:space="preserve">Причинами пожаров на объектах социально-бытового назначения в основном являются нарушения правил пожарной безопасности, правил эксплуатации электрооборудования и неосторожное обращение с огнем. </w:t>
      </w:r>
    </w:p>
    <w:p w14:paraId="747E93BF">
      <w:pPr>
        <w:spacing w:line="276" w:lineRule="auto"/>
        <w:ind w:firstLine="567"/>
        <w:contextualSpacing/>
        <w:jc w:val="both"/>
        <w:rPr>
          <w:sz w:val="28"/>
          <w:szCs w:val="28"/>
          <w:lang w:val="ru-RU"/>
        </w:rPr>
      </w:pPr>
      <w:r>
        <w:rPr>
          <w:sz w:val="28"/>
          <w:szCs w:val="28"/>
          <w:lang w:val="ru-RU"/>
        </w:rPr>
        <w:t>В соответствии с Федеральным законом от 22.07.2008 № 123-ФЗ «Технический регламент о требованиях пожарной безопасности» (далее - Федеральный закон № 123-ФЗ) к опасным факторам пожара, воздействующим на людей и имущество, относятся:</w:t>
      </w:r>
    </w:p>
    <w:p w14:paraId="7A041046">
      <w:pPr>
        <w:pStyle w:val="50"/>
        <w:widowControl/>
        <w:numPr>
          <w:ilvl w:val="0"/>
          <w:numId w:val="14"/>
        </w:numPr>
        <w:autoSpaceDE/>
        <w:autoSpaceDN/>
        <w:spacing w:after="200" w:line="276" w:lineRule="auto"/>
        <w:contextualSpacing/>
        <w:jc w:val="both"/>
        <w:rPr>
          <w:sz w:val="28"/>
          <w:szCs w:val="28"/>
        </w:rPr>
      </w:pPr>
      <w:r>
        <w:rPr>
          <w:sz w:val="28"/>
          <w:szCs w:val="28"/>
        </w:rPr>
        <w:t>пламя и искры;</w:t>
      </w:r>
    </w:p>
    <w:p w14:paraId="2372F28B">
      <w:pPr>
        <w:pStyle w:val="50"/>
        <w:widowControl/>
        <w:numPr>
          <w:ilvl w:val="0"/>
          <w:numId w:val="14"/>
        </w:numPr>
        <w:autoSpaceDE/>
        <w:autoSpaceDN/>
        <w:spacing w:after="200" w:line="276" w:lineRule="auto"/>
        <w:contextualSpacing/>
        <w:jc w:val="both"/>
        <w:rPr>
          <w:sz w:val="28"/>
          <w:szCs w:val="28"/>
        </w:rPr>
      </w:pPr>
      <w:r>
        <w:rPr>
          <w:sz w:val="28"/>
          <w:szCs w:val="28"/>
        </w:rPr>
        <w:t>тепловой поток;</w:t>
      </w:r>
    </w:p>
    <w:p w14:paraId="1FEE2993">
      <w:pPr>
        <w:pStyle w:val="50"/>
        <w:widowControl/>
        <w:numPr>
          <w:ilvl w:val="0"/>
          <w:numId w:val="14"/>
        </w:numPr>
        <w:autoSpaceDE/>
        <w:autoSpaceDN/>
        <w:spacing w:after="200" w:line="276" w:lineRule="auto"/>
        <w:contextualSpacing/>
        <w:jc w:val="both"/>
        <w:rPr>
          <w:sz w:val="28"/>
          <w:szCs w:val="28"/>
        </w:rPr>
      </w:pPr>
      <w:r>
        <w:rPr>
          <w:sz w:val="28"/>
          <w:szCs w:val="28"/>
        </w:rPr>
        <w:t>повышенная температура окружающей среды;</w:t>
      </w:r>
    </w:p>
    <w:p w14:paraId="68734F0B">
      <w:pPr>
        <w:pStyle w:val="50"/>
        <w:widowControl/>
        <w:numPr>
          <w:ilvl w:val="0"/>
          <w:numId w:val="14"/>
        </w:numPr>
        <w:autoSpaceDE/>
        <w:autoSpaceDN/>
        <w:spacing w:after="200" w:line="276" w:lineRule="auto"/>
        <w:contextualSpacing/>
        <w:jc w:val="both"/>
        <w:rPr>
          <w:sz w:val="28"/>
          <w:szCs w:val="28"/>
          <w:lang w:val="ru-RU"/>
        </w:rPr>
      </w:pPr>
      <w:r>
        <w:rPr>
          <w:sz w:val="28"/>
          <w:szCs w:val="28"/>
          <w:lang w:val="ru-RU"/>
        </w:rPr>
        <w:t>повышенная концентрация токсичных продуктов горения и термического разложения;</w:t>
      </w:r>
    </w:p>
    <w:p w14:paraId="16C51BD6">
      <w:pPr>
        <w:pStyle w:val="50"/>
        <w:widowControl/>
        <w:numPr>
          <w:ilvl w:val="0"/>
          <w:numId w:val="14"/>
        </w:numPr>
        <w:autoSpaceDE/>
        <w:autoSpaceDN/>
        <w:spacing w:after="200" w:line="276" w:lineRule="auto"/>
        <w:contextualSpacing/>
        <w:jc w:val="both"/>
        <w:rPr>
          <w:sz w:val="28"/>
          <w:szCs w:val="28"/>
        </w:rPr>
      </w:pPr>
      <w:r>
        <w:rPr>
          <w:sz w:val="28"/>
          <w:szCs w:val="28"/>
        </w:rPr>
        <w:t>пониженная концентрация кислорода;</w:t>
      </w:r>
    </w:p>
    <w:p w14:paraId="3DED2455">
      <w:pPr>
        <w:pStyle w:val="50"/>
        <w:widowControl/>
        <w:numPr>
          <w:ilvl w:val="0"/>
          <w:numId w:val="14"/>
        </w:numPr>
        <w:autoSpaceDE/>
        <w:autoSpaceDN/>
        <w:spacing w:after="200" w:line="276" w:lineRule="auto"/>
        <w:contextualSpacing/>
        <w:jc w:val="both"/>
        <w:rPr>
          <w:sz w:val="28"/>
          <w:szCs w:val="28"/>
        </w:rPr>
      </w:pPr>
      <w:r>
        <w:rPr>
          <w:sz w:val="28"/>
          <w:szCs w:val="28"/>
        </w:rPr>
        <w:t>снижение видимости в дыму.</w:t>
      </w:r>
    </w:p>
    <w:p w14:paraId="5E85B6B1">
      <w:pPr>
        <w:spacing w:line="276" w:lineRule="auto"/>
        <w:ind w:firstLine="567"/>
        <w:contextualSpacing/>
        <w:jc w:val="both"/>
        <w:rPr>
          <w:sz w:val="28"/>
          <w:szCs w:val="28"/>
          <w:lang w:val="ru-RU"/>
        </w:rPr>
      </w:pPr>
      <w:r>
        <w:rPr>
          <w:sz w:val="28"/>
          <w:szCs w:val="28"/>
          <w:lang w:val="ru-RU"/>
        </w:rPr>
        <w:t>К сопутствующим проявлениям опасных факторов пожара относятся:</w:t>
      </w:r>
    </w:p>
    <w:p w14:paraId="074EAF82">
      <w:pPr>
        <w:pStyle w:val="50"/>
        <w:widowControl/>
        <w:numPr>
          <w:ilvl w:val="0"/>
          <w:numId w:val="14"/>
        </w:numPr>
        <w:autoSpaceDE/>
        <w:autoSpaceDN/>
        <w:spacing w:after="200" w:line="276" w:lineRule="auto"/>
        <w:contextualSpacing/>
        <w:jc w:val="both"/>
        <w:rPr>
          <w:sz w:val="28"/>
          <w:szCs w:val="28"/>
          <w:lang w:val="ru-RU"/>
        </w:rPr>
      </w:pPr>
      <w:r>
        <w:rPr>
          <w:sz w:val="28"/>
          <w:szCs w:val="28"/>
          <w:lang w:val="ru-RU"/>
        </w:rPr>
        <w:t>осколки, части разрушившихся зданий, сооружений, строений, транспортных средств, технологических установок, оборудования, агрегатов, изделий и иного имущества;</w:t>
      </w:r>
    </w:p>
    <w:p w14:paraId="183C1938">
      <w:pPr>
        <w:pStyle w:val="50"/>
        <w:widowControl/>
        <w:numPr>
          <w:ilvl w:val="0"/>
          <w:numId w:val="14"/>
        </w:numPr>
        <w:autoSpaceDE/>
        <w:autoSpaceDN/>
        <w:spacing w:after="200" w:line="276" w:lineRule="auto"/>
        <w:contextualSpacing/>
        <w:jc w:val="both"/>
        <w:rPr>
          <w:sz w:val="28"/>
          <w:szCs w:val="28"/>
          <w:lang w:val="ru-RU"/>
        </w:rPr>
      </w:pPr>
      <w:r>
        <w:rPr>
          <w:sz w:val="28"/>
          <w:szCs w:val="28"/>
          <w:lang w:val="ru-RU"/>
        </w:rPr>
        <w:t>радиоактивные и токсичные вещества и материалы, попавшие в окружающую среду из разрушенных технологических установок, оборудования, агрегатов, изделий и иного имущества;</w:t>
      </w:r>
    </w:p>
    <w:p w14:paraId="5BA94FAA">
      <w:pPr>
        <w:pStyle w:val="50"/>
        <w:widowControl/>
        <w:numPr>
          <w:ilvl w:val="0"/>
          <w:numId w:val="14"/>
        </w:numPr>
        <w:autoSpaceDE/>
        <w:autoSpaceDN/>
        <w:spacing w:after="200" w:line="276" w:lineRule="auto"/>
        <w:contextualSpacing/>
        <w:jc w:val="both"/>
        <w:rPr>
          <w:sz w:val="28"/>
          <w:szCs w:val="28"/>
          <w:lang w:val="ru-RU"/>
        </w:rPr>
      </w:pPr>
      <w:r>
        <w:rPr>
          <w:sz w:val="28"/>
          <w:szCs w:val="28"/>
          <w:lang w:val="ru-RU"/>
        </w:rPr>
        <w:t>вынос высокого напряжения на токопроводящие части технологических установок, оборудования, агрегатов, изделий и иного имущества;</w:t>
      </w:r>
    </w:p>
    <w:p w14:paraId="327BD6B5">
      <w:pPr>
        <w:pStyle w:val="50"/>
        <w:widowControl/>
        <w:numPr>
          <w:ilvl w:val="0"/>
          <w:numId w:val="14"/>
        </w:numPr>
        <w:autoSpaceDE/>
        <w:autoSpaceDN/>
        <w:spacing w:after="200" w:line="276" w:lineRule="auto"/>
        <w:contextualSpacing/>
        <w:jc w:val="both"/>
        <w:rPr>
          <w:sz w:val="28"/>
          <w:szCs w:val="28"/>
          <w:lang w:val="ru-RU"/>
        </w:rPr>
      </w:pPr>
      <w:r>
        <w:rPr>
          <w:sz w:val="28"/>
          <w:szCs w:val="28"/>
          <w:lang w:val="ru-RU"/>
        </w:rPr>
        <w:t>опасные факторы взрыва, происшедшего вследствие пожара;</w:t>
      </w:r>
    </w:p>
    <w:p w14:paraId="40E9D437">
      <w:pPr>
        <w:pStyle w:val="50"/>
        <w:widowControl/>
        <w:numPr>
          <w:ilvl w:val="0"/>
          <w:numId w:val="14"/>
        </w:numPr>
        <w:autoSpaceDE/>
        <w:autoSpaceDN/>
        <w:spacing w:after="200" w:line="276" w:lineRule="auto"/>
        <w:contextualSpacing/>
        <w:jc w:val="both"/>
        <w:rPr>
          <w:sz w:val="28"/>
          <w:szCs w:val="28"/>
        </w:rPr>
      </w:pPr>
      <w:r>
        <w:rPr>
          <w:sz w:val="28"/>
          <w:szCs w:val="28"/>
        </w:rPr>
        <w:t>воздействие огнетушащих веществ.</w:t>
      </w:r>
    </w:p>
    <w:p w14:paraId="41E23069">
      <w:pPr>
        <w:spacing w:line="276" w:lineRule="auto"/>
        <w:ind w:firstLine="567"/>
        <w:contextualSpacing/>
        <w:jc w:val="both"/>
        <w:rPr>
          <w:sz w:val="28"/>
          <w:szCs w:val="28"/>
          <w:lang w:val="ru-RU"/>
        </w:rPr>
      </w:pPr>
      <w:r>
        <w:rPr>
          <w:sz w:val="28"/>
          <w:szCs w:val="28"/>
          <w:lang w:val="ru-RU"/>
        </w:rPr>
        <w:t>В соответствии с Федеральным законом № 123-ФЗ защита людей и имущества от воздействия опасных факторов пожара и (или) ограничение последствий их воздействия обеспечиваются одним или несколькими из следующих способов:</w:t>
      </w:r>
    </w:p>
    <w:p w14:paraId="17AC3E7A">
      <w:pPr>
        <w:pStyle w:val="50"/>
        <w:widowControl/>
        <w:numPr>
          <w:ilvl w:val="0"/>
          <w:numId w:val="15"/>
        </w:numPr>
        <w:autoSpaceDE/>
        <w:autoSpaceDN/>
        <w:spacing w:after="200" w:line="276" w:lineRule="auto"/>
        <w:contextualSpacing/>
        <w:jc w:val="both"/>
        <w:rPr>
          <w:sz w:val="28"/>
          <w:szCs w:val="28"/>
          <w:lang w:val="ru-RU"/>
        </w:rPr>
      </w:pPr>
      <w:r>
        <w:rPr>
          <w:sz w:val="28"/>
          <w:szCs w:val="28"/>
          <w:lang w:val="ru-RU"/>
        </w:rPr>
        <w:t>применение объемно-планировочных решений и средств, обеспечивающих ограничение распространения пожара за пределы очага;</w:t>
      </w:r>
    </w:p>
    <w:p w14:paraId="70C82F39">
      <w:pPr>
        <w:pStyle w:val="50"/>
        <w:widowControl/>
        <w:numPr>
          <w:ilvl w:val="0"/>
          <w:numId w:val="15"/>
        </w:numPr>
        <w:autoSpaceDE/>
        <w:autoSpaceDN/>
        <w:spacing w:after="200" w:line="276" w:lineRule="auto"/>
        <w:contextualSpacing/>
        <w:jc w:val="both"/>
        <w:rPr>
          <w:sz w:val="28"/>
          <w:szCs w:val="28"/>
          <w:lang w:val="ru-RU"/>
        </w:rPr>
      </w:pPr>
      <w:r>
        <w:rPr>
          <w:sz w:val="28"/>
          <w:szCs w:val="28"/>
          <w:lang w:val="ru-RU"/>
        </w:rPr>
        <w:t>устройство эвакуационных путей, удовлетворяющих требованиям безопасной эвакуации людей при пожаре;</w:t>
      </w:r>
    </w:p>
    <w:p w14:paraId="6A68AF0E">
      <w:pPr>
        <w:pStyle w:val="50"/>
        <w:widowControl/>
        <w:numPr>
          <w:ilvl w:val="0"/>
          <w:numId w:val="15"/>
        </w:numPr>
        <w:autoSpaceDE/>
        <w:autoSpaceDN/>
        <w:spacing w:after="200" w:line="276" w:lineRule="auto"/>
        <w:contextualSpacing/>
        <w:jc w:val="both"/>
        <w:rPr>
          <w:sz w:val="28"/>
          <w:szCs w:val="28"/>
          <w:lang w:val="ru-RU"/>
        </w:rPr>
      </w:pPr>
      <w:r>
        <w:rPr>
          <w:sz w:val="28"/>
          <w:szCs w:val="28"/>
          <w:lang w:val="ru-RU"/>
        </w:rPr>
        <w:t>устройство систем обнаружения пожара (установок и систем пожарной сигнализации), оповещения и управления эвакуацией людей при пожаре;</w:t>
      </w:r>
    </w:p>
    <w:p w14:paraId="5D36E3CB">
      <w:pPr>
        <w:pStyle w:val="50"/>
        <w:widowControl/>
        <w:numPr>
          <w:ilvl w:val="0"/>
          <w:numId w:val="15"/>
        </w:numPr>
        <w:autoSpaceDE/>
        <w:autoSpaceDN/>
        <w:spacing w:after="200" w:line="276" w:lineRule="auto"/>
        <w:contextualSpacing/>
        <w:jc w:val="both"/>
        <w:rPr>
          <w:sz w:val="28"/>
          <w:szCs w:val="28"/>
          <w:lang w:val="ru-RU"/>
        </w:rPr>
      </w:pPr>
      <w:r>
        <w:rPr>
          <w:sz w:val="28"/>
          <w:szCs w:val="28"/>
          <w:lang w:val="ru-RU"/>
        </w:rPr>
        <w:t>применение систем коллективной защиты (в том числе противодымной) и средств индивидуальной защиты людей от воздействия опасных факторов пожара;</w:t>
      </w:r>
    </w:p>
    <w:p w14:paraId="57375605">
      <w:pPr>
        <w:pStyle w:val="50"/>
        <w:widowControl/>
        <w:numPr>
          <w:ilvl w:val="0"/>
          <w:numId w:val="15"/>
        </w:numPr>
        <w:autoSpaceDE/>
        <w:autoSpaceDN/>
        <w:spacing w:after="200" w:line="276" w:lineRule="auto"/>
        <w:contextualSpacing/>
        <w:jc w:val="both"/>
        <w:rPr>
          <w:sz w:val="28"/>
          <w:szCs w:val="28"/>
          <w:lang w:val="ru-RU"/>
        </w:rPr>
      </w:pPr>
      <w:r>
        <w:rPr>
          <w:sz w:val="28"/>
          <w:szCs w:val="28"/>
          <w:lang w:val="ru-RU"/>
        </w:rPr>
        <w:t>применение основных строительных конструкций с пределами огнестойкости и классами пожарной опасности;</w:t>
      </w:r>
    </w:p>
    <w:p w14:paraId="731B5857">
      <w:pPr>
        <w:pStyle w:val="50"/>
        <w:widowControl/>
        <w:numPr>
          <w:ilvl w:val="0"/>
          <w:numId w:val="15"/>
        </w:numPr>
        <w:autoSpaceDE/>
        <w:autoSpaceDN/>
        <w:spacing w:after="200" w:line="276" w:lineRule="auto"/>
        <w:contextualSpacing/>
        <w:jc w:val="both"/>
        <w:rPr>
          <w:sz w:val="28"/>
          <w:szCs w:val="28"/>
          <w:lang w:val="ru-RU"/>
        </w:rPr>
      </w:pPr>
      <w:r>
        <w:rPr>
          <w:sz w:val="28"/>
          <w:szCs w:val="28"/>
          <w:lang w:val="ru-RU"/>
        </w:rPr>
        <w:t>устройство на технологическом оборудовании систем противовзрывной защиты;</w:t>
      </w:r>
    </w:p>
    <w:p w14:paraId="73E1B09A">
      <w:pPr>
        <w:pStyle w:val="50"/>
        <w:widowControl/>
        <w:numPr>
          <w:ilvl w:val="0"/>
          <w:numId w:val="15"/>
        </w:numPr>
        <w:autoSpaceDE/>
        <w:autoSpaceDN/>
        <w:spacing w:after="200" w:line="276" w:lineRule="auto"/>
        <w:contextualSpacing/>
        <w:jc w:val="both"/>
        <w:rPr>
          <w:sz w:val="28"/>
          <w:szCs w:val="28"/>
        </w:rPr>
      </w:pPr>
      <w:r>
        <w:rPr>
          <w:sz w:val="28"/>
          <w:szCs w:val="28"/>
        </w:rPr>
        <w:t>применение первичных средств пожаротушения;</w:t>
      </w:r>
    </w:p>
    <w:p w14:paraId="2486875C">
      <w:pPr>
        <w:pStyle w:val="50"/>
        <w:widowControl/>
        <w:numPr>
          <w:ilvl w:val="0"/>
          <w:numId w:val="15"/>
        </w:numPr>
        <w:autoSpaceDE/>
        <w:autoSpaceDN/>
        <w:spacing w:after="200" w:line="276" w:lineRule="auto"/>
        <w:contextualSpacing/>
        <w:jc w:val="both"/>
        <w:rPr>
          <w:sz w:val="28"/>
          <w:szCs w:val="28"/>
          <w:lang w:val="ru-RU"/>
        </w:rPr>
      </w:pPr>
      <w:r>
        <w:rPr>
          <w:sz w:val="28"/>
          <w:szCs w:val="28"/>
          <w:lang w:val="ru-RU"/>
        </w:rPr>
        <w:t>организация деятельности подразделений пожарной охраны.</w:t>
      </w:r>
    </w:p>
    <w:p w14:paraId="66877A75">
      <w:pPr>
        <w:spacing w:line="276" w:lineRule="auto"/>
        <w:ind w:firstLine="567"/>
        <w:contextualSpacing/>
        <w:jc w:val="both"/>
        <w:rPr>
          <w:sz w:val="28"/>
          <w:szCs w:val="28"/>
          <w:lang w:val="ru-RU"/>
        </w:rPr>
      </w:pPr>
      <w:r>
        <w:rPr>
          <w:sz w:val="28"/>
          <w:szCs w:val="28"/>
          <w:lang w:val="ru-RU"/>
        </w:rPr>
        <w:t>Здания, сооружения и строения должны быть обеспечены первичными средствами пожаротушения лицами, уполномоченными владеть, пользоваться или распоряжаться зданиями, сооружениями и строениями.</w:t>
      </w:r>
    </w:p>
    <w:p w14:paraId="15B57AA5">
      <w:pPr>
        <w:spacing w:line="276" w:lineRule="auto"/>
        <w:ind w:firstLine="567"/>
        <w:contextualSpacing/>
        <w:jc w:val="both"/>
        <w:rPr>
          <w:sz w:val="28"/>
          <w:szCs w:val="28"/>
          <w:lang w:val="ru-RU"/>
        </w:rPr>
      </w:pPr>
      <w:r>
        <w:rPr>
          <w:sz w:val="28"/>
          <w:szCs w:val="28"/>
          <w:lang w:val="ru-RU"/>
        </w:rPr>
        <w:t>В соответствии с Федеральным законом № 123-ФЗ планировка и застройка территорий поселений должны осуществляться в соответствии с генеральными планами поселений, учитывающими требования пожарной безопасности, установленные настоящим Федеральным законом.</w:t>
      </w:r>
    </w:p>
    <w:p w14:paraId="34194F60">
      <w:pPr>
        <w:spacing w:line="276" w:lineRule="auto"/>
        <w:ind w:firstLine="567"/>
        <w:contextualSpacing/>
        <w:jc w:val="both"/>
        <w:rPr>
          <w:sz w:val="28"/>
          <w:szCs w:val="28"/>
          <w:lang w:val="ru-RU"/>
        </w:rPr>
      </w:pPr>
    </w:p>
    <w:p w14:paraId="26D2A2C0">
      <w:pPr>
        <w:spacing w:line="276" w:lineRule="auto"/>
        <w:ind w:firstLine="567"/>
        <w:contextualSpacing/>
        <w:jc w:val="both"/>
        <w:rPr>
          <w:sz w:val="28"/>
          <w:szCs w:val="28"/>
          <w:lang w:val="ru-RU"/>
        </w:rPr>
      </w:pPr>
      <w:r>
        <w:rPr>
          <w:sz w:val="28"/>
          <w:szCs w:val="28"/>
          <w:lang w:val="ru-RU"/>
        </w:rPr>
        <w:t xml:space="preserve">Для организации тушения пожаров на территории района имеется 2 подразделения Государственной противопожарной службы - пожарная часть федеральной противопожарной службы (ПСЧ № 18 г. Валуйки), и пожарная часть ПСЧ № 38 в п. Уразово, которые осуществляют охрану г. Валуйки, гп. Уразово и близлежащих населённых пунктов. </w:t>
      </w:r>
    </w:p>
    <w:p w14:paraId="1963668B">
      <w:pPr>
        <w:spacing w:line="276" w:lineRule="auto"/>
        <w:ind w:firstLine="567"/>
        <w:contextualSpacing/>
        <w:jc w:val="both"/>
        <w:rPr>
          <w:sz w:val="28"/>
          <w:szCs w:val="28"/>
          <w:lang w:val="ru-RU"/>
        </w:rPr>
      </w:pPr>
      <w:r>
        <w:rPr>
          <w:sz w:val="28"/>
          <w:szCs w:val="28"/>
          <w:lang w:val="ru-RU"/>
        </w:rPr>
        <w:t>Пожарные части оснащены гидравлическим аварийно-спасательным инструментом и имеют свидетельства на правоведения аварийно-спасательных и других неотложных работ. В ходе проверки личный состав дежурных караулов показал удовлетворительные знания и навыки работы с гидравлическим аварийно-спасательным инструментом.</w:t>
      </w:r>
    </w:p>
    <w:p w14:paraId="66FDFD36">
      <w:pPr>
        <w:spacing w:line="276" w:lineRule="auto"/>
        <w:ind w:firstLine="567"/>
        <w:contextualSpacing/>
        <w:jc w:val="both"/>
        <w:rPr>
          <w:sz w:val="28"/>
          <w:szCs w:val="28"/>
          <w:lang w:val="ru-RU"/>
        </w:rPr>
      </w:pPr>
      <w:r>
        <w:rPr>
          <w:sz w:val="28"/>
          <w:szCs w:val="28"/>
          <w:lang w:val="ru-RU"/>
        </w:rPr>
        <w:t>Источниками противопожарного водоснабжения являются пожарные гидранты.</w:t>
      </w:r>
    </w:p>
    <w:p w14:paraId="670A921E">
      <w:pPr>
        <w:spacing w:line="276" w:lineRule="auto"/>
        <w:ind w:firstLine="567"/>
        <w:contextualSpacing/>
        <w:jc w:val="both"/>
        <w:rPr>
          <w:sz w:val="28"/>
          <w:szCs w:val="28"/>
          <w:lang w:val="ru-RU"/>
        </w:rPr>
      </w:pPr>
      <w:r>
        <w:rPr>
          <w:sz w:val="28"/>
          <w:szCs w:val="28"/>
          <w:lang w:val="ru-RU"/>
        </w:rPr>
        <w:t>Всего на территории села Сухарево имеются имеется 1 пожарных гидранта и 1 водонапорная башня.</w:t>
      </w:r>
    </w:p>
    <w:p w14:paraId="540CB522">
      <w:pPr>
        <w:spacing w:line="276" w:lineRule="auto"/>
        <w:ind w:firstLine="567"/>
        <w:contextualSpacing/>
        <w:jc w:val="both"/>
        <w:rPr>
          <w:sz w:val="28"/>
          <w:szCs w:val="28"/>
          <w:lang w:val="ru-RU"/>
        </w:rPr>
      </w:pPr>
      <w:r>
        <w:rPr>
          <w:sz w:val="28"/>
          <w:szCs w:val="28"/>
          <w:lang w:val="ru-RU"/>
        </w:rPr>
        <w:t xml:space="preserve">Время прибытия первого подразделения к месту вызова в село Сухарево - 20 минут, что соответствует Федеральному закону Российской Федерации от 22 июля 2008 года № 123-ФЗ «Технический регламент о требованиях пожарной безопасности», в которой установлены общие требования пожарной безопасности к поселениям и городским округам по размещению подразделений пожарной охраны (статья 76 главы 17). </w:t>
      </w:r>
    </w:p>
    <w:p w14:paraId="1337B527">
      <w:pPr>
        <w:pStyle w:val="3"/>
        <w:numPr>
          <w:ilvl w:val="1"/>
          <w:numId w:val="6"/>
        </w:numPr>
        <w:shd w:val="clear" w:color="auto" w:fill="FFFFFF"/>
        <w:spacing w:before="240" w:after="240" w:line="317" w:lineRule="exact"/>
        <w:ind w:left="0" w:firstLine="284"/>
        <w:jc w:val="center"/>
        <w:rPr>
          <w:rFonts w:ascii="Times New Roman" w:hAnsi="Times New Roman"/>
          <w:color w:val="auto"/>
          <w:sz w:val="28"/>
          <w:lang w:val="ru-RU"/>
        </w:rPr>
      </w:pPr>
      <w:r>
        <w:rPr>
          <w:rFonts w:ascii="Times New Roman" w:hAnsi="Times New Roman"/>
          <w:color w:val="auto"/>
          <w:sz w:val="28"/>
          <w:lang w:val="ru-RU"/>
        </w:rPr>
        <w:t>Краткая характеристика факторов риска</w:t>
      </w:r>
    </w:p>
    <w:p w14:paraId="014AD7D7">
      <w:pPr>
        <w:spacing w:line="276" w:lineRule="auto"/>
        <w:ind w:firstLine="567"/>
        <w:contextualSpacing/>
        <w:jc w:val="both"/>
        <w:rPr>
          <w:sz w:val="28"/>
          <w:szCs w:val="28"/>
          <w:lang w:val="ru-RU"/>
        </w:rPr>
      </w:pPr>
      <w:r>
        <w:rPr>
          <w:sz w:val="28"/>
          <w:szCs w:val="28"/>
          <w:lang w:val="ru-RU"/>
        </w:rPr>
        <w:t>На территории села Сухарево нет радиационно-опасных объектов. Радиационный фон окружающей среды постоянно контролируется специалистами ветлаборатории и метеостанции. Радиационный фон в 2024 году не превышал допустимых норм.</w:t>
      </w:r>
    </w:p>
    <w:p w14:paraId="49DD66BF">
      <w:pPr>
        <w:spacing w:line="276" w:lineRule="auto"/>
        <w:ind w:firstLine="567"/>
        <w:contextualSpacing/>
        <w:jc w:val="both"/>
        <w:rPr>
          <w:sz w:val="28"/>
          <w:szCs w:val="28"/>
          <w:lang w:val="ru-RU"/>
        </w:rPr>
      </w:pPr>
      <w:r>
        <w:rPr>
          <w:sz w:val="28"/>
          <w:szCs w:val="28"/>
          <w:lang w:val="ru-RU"/>
        </w:rPr>
        <w:t>На территории села Сухарево отсутствуют промышленные предприятия, имеющие потенциальную опасность для населения и территорий.</w:t>
      </w:r>
    </w:p>
    <w:p w14:paraId="6C931612">
      <w:pPr>
        <w:spacing w:line="276" w:lineRule="auto"/>
        <w:ind w:firstLine="567"/>
        <w:contextualSpacing/>
        <w:jc w:val="both"/>
        <w:rPr>
          <w:sz w:val="28"/>
          <w:szCs w:val="28"/>
          <w:lang w:val="ru-RU"/>
        </w:rPr>
      </w:pPr>
      <w:r>
        <w:rPr>
          <w:sz w:val="28"/>
          <w:szCs w:val="28"/>
          <w:lang w:val="ru-RU"/>
        </w:rPr>
        <w:t>Протяжённость дорог общего пользования по населённому пункту с. Сухарево составляет 5,738 км, все дороги имеют твёрдое покрытие.</w:t>
      </w:r>
    </w:p>
    <w:p w14:paraId="4845AFCF">
      <w:pPr>
        <w:spacing w:line="276" w:lineRule="auto"/>
        <w:ind w:firstLine="567"/>
        <w:contextualSpacing/>
        <w:jc w:val="both"/>
        <w:rPr>
          <w:sz w:val="28"/>
          <w:szCs w:val="28"/>
          <w:lang w:val="ru-RU"/>
        </w:rPr>
      </w:pPr>
      <w:r>
        <w:rPr>
          <w:sz w:val="28"/>
          <w:szCs w:val="28"/>
          <w:lang w:val="ru-RU"/>
        </w:rPr>
        <w:t>На автомобильных дорогах возможны чрезвычайные ситуации в результате нарушения правил дорожного движения водителями транспортных средств.</w:t>
      </w:r>
    </w:p>
    <w:p w14:paraId="68360A61">
      <w:pPr>
        <w:spacing w:line="276" w:lineRule="auto"/>
        <w:ind w:firstLine="567"/>
        <w:contextualSpacing/>
        <w:jc w:val="both"/>
        <w:rPr>
          <w:sz w:val="28"/>
          <w:szCs w:val="28"/>
          <w:lang w:val="ru-RU"/>
        </w:rPr>
      </w:pPr>
      <w:r>
        <w:rPr>
          <w:sz w:val="28"/>
          <w:szCs w:val="28"/>
          <w:lang w:val="ru-RU"/>
        </w:rPr>
        <w:t>Аварий с выбросом (угрозой выброса) аварийно - химических опасных веществ не было.</w:t>
      </w:r>
    </w:p>
    <w:p w14:paraId="3DBE38DB">
      <w:pPr>
        <w:spacing w:line="276" w:lineRule="auto"/>
        <w:ind w:firstLine="567"/>
        <w:contextualSpacing/>
        <w:jc w:val="both"/>
        <w:rPr>
          <w:sz w:val="28"/>
          <w:szCs w:val="28"/>
          <w:lang w:val="ru-RU"/>
        </w:rPr>
      </w:pPr>
      <w:r>
        <w:rPr>
          <w:sz w:val="28"/>
          <w:szCs w:val="28"/>
          <w:lang w:val="ru-RU"/>
        </w:rPr>
        <w:t>Радиационно-опасных производств, радиоактивных веществ на территории села нет.</w:t>
      </w:r>
    </w:p>
    <w:p w14:paraId="72522848">
      <w:pPr>
        <w:spacing w:line="276" w:lineRule="auto"/>
        <w:ind w:firstLine="567"/>
        <w:contextualSpacing/>
        <w:jc w:val="both"/>
        <w:rPr>
          <w:sz w:val="28"/>
          <w:szCs w:val="28"/>
          <w:lang w:val="ru-RU"/>
        </w:rPr>
      </w:pPr>
      <w:r>
        <w:rPr>
          <w:sz w:val="28"/>
          <w:szCs w:val="28"/>
          <w:lang w:val="ru-RU"/>
        </w:rPr>
        <w:t>Внезапных обрушений зданий и сооружений жилого, нежилого назначения не было.</w:t>
      </w:r>
    </w:p>
    <w:p w14:paraId="4F12545C">
      <w:pPr>
        <w:spacing w:line="276" w:lineRule="auto"/>
        <w:ind w:firstLine="567"/>
        <w:contextualSpacing/>
        <w:jc w:val="both"/>
        <w:rPr>
          <w:sz w:val="28"/>
          <w:szCs w:val="28"/>
          <w:lang w:val="ru-RU"/>
        </w:rPr>
      </w:pPr>
      <w:r>
        <w:rPr>
          <w:sz w:val="28"/>
          <w:szCs w:val="28"/>
          <w:lang w:val="ru-RU"/>
        </w:rPr>
        <w:t>Аварий на электрических сетях, коммунальных системах жизнеобеспечения, тепловых сетях и гидротехнических сооружениях не было.</w:t>
      </w:r>
    </w:p>
    <w:p w14:paraId="2ADD3BC8">
      <w:pPr>
        <w:spacing w:line="276" w:lineRule="auto"/>
        <w:ind w:firstLine="567"/>
        <w:contextualSpacing/>
        <w:jc w:val="both"/>
        <w:rPr>
          <w:sz w:val="28"/>
          <w:szCs w:val="28"/>
          <w:lang w:val="ru-RU"/>
        </w:rPr>
      </w:pPr>
      <w:r>
        <w:rPr>
          <w:sz w:val="28"/>
          <w:szCs w:val="28"/>
          <w:lang w:val="ru-RU"/>
        </w:rPr>
        <w:t xml:space="preserve">На территории села Сухарево за период 2020-2024 гг имели место ливневые дожди, ураганный ветер, заморозки в период вегетации и созревания сельскохозяйственных культур. </w:t>
      </w:r>
    </w:p>
    <w:p w14:paraId="445AC891">
      <w:pPr>
        <w:spacing w:line="276" w:lineRule="auto"/>
        <w:ind w:firstLine="567"/>
        <w:contextualSpacing/>
        <w:jc w:val="both"/>
        <w:rPr>
          <w:sz w:val="28"/>
          <w:szCs w:val="28"/>
          <w:lang w:val="ru-RU"/>
        </w:rPr>
      </w:pPr>
      <w:r>
        <w:rPr>
          <w:sz w:val="28"/>
          <w:szCs w:val="28"/>
          <w:lang w:val="ru-RU"/>
        </w:rPr>
        <w:t>Территории села не подвержена риску возникновения чрезвычайных ситуаций техногенного характера.</w:t>
      </w:r>
    </w:p>
    <w:p w14:paraId="68C95F2E">
      <w:pPr>
        <w:spacing w:line="360" w:lineRule="auto"/>
        <w:ind w:firstLine="567"/>
        <w:contextualSpacing/>
        <w:jc w:val="center"/>
        <w:rPr>
          <w:b/>
          <w:sz w:val="24"/>
          <w:szCs w:val="24"/>
          <w:lang w:val="ru-RU"/>
        </w:rPr>
      </w:pPr>
    </w:p>
    <w:p w14:paraId="356E5B0D">
      <w:pPr>
        <w:spacing w:line="360" w:lineRule="auto"/>
        <w:ind w:firstLine="567"/>
        <w:contextualSpacing/>
        <w:jc w:val="center"/>
        <w:rPr>
          <w:b/>
          <w:sz w:val="24"/>
          <w:szCs w:val="24"/>
          <w:lang w:val="ru-RU"/>
        </w:rPr>
      </w:pPr>
      <w:r>
        <w:rPr>
          <w:b/>
          <w:sz w:val="24"/>
          <w:szCs w:val="24"/>
          <w:lang w:val="ru-RU"/>
        </w:rPr>
        <w:t xml:space="preserve">Характеристика потенциально-опасных объектов </w:t>
      </w:r>
    </w:p>
    <w:tbl>
      <w:tblPr>
        <w:tblStyle w:val="11"/>
        <w:tblW w:w="10079" w:type="dxa"/>
        <w:tblInd w:w="0" w:type="dxa"/>
        <w:tblLayout w:type="fixed"/>
        <w:tblCellMar>
          <w:top w:w="0" w:type="dxa"/>
          <w:left w:w="10" w:type="dxa"/>
          <w:bottom w:w="0" w:type="dxa"/>
          <w:right w:w="10" w:type="dxa"/>
        </w:tblCellMar>
      </w:tblPr>
      <w:tblGrid>
        <w:gridCol w:w="2294"/>
        <w:gridCol w:w="977"/>
        <w:gridCol w:w="992"/>
        <w:gridCol w:w="992"/>
        <w:gridCol w:w="992"/>
        <w:gridCol w:w="993"/>
        <w:gridCol w:w="992"/>
        <w:gridCol w:w="992"/>
        <w:gridCol w:w="855"/>
      </w:tblGrid>
      <w:tr w14:paraId="3CA68296">
        <w:tblPrEx>
          <w:tblCellMar>
            <w:top w:w="0" w:type="dxa"/>
            <w:left w:w="10" w:type="dxa"/>
            <w:bottom w:w="0" w:type="dxa"/>
            <w:right w:w="10" w:type="dxa"/>
          </w:tblCellMar>
        </w:tblPrEx>
        <w:trPr>
          <w:trHeight w:val="411" w:hRule="exact"/>
        </w:trPr>
        <w:tc>
          <w:tcPr>
            <w:tcW w:w="2294" w:type="dxa"/>
            <w:vMerge w:val="restart"/>
            <w:tcBorders>
              <w:top w:val="single" w:color="auto" w:sz="4" w:space="0"/>
              <w:left w:val="single" w:color="auto" w:sz="4" w:space="0"/>
            </w:tcBorders>
            <w:shd w:val="clear" w:color="auto" w:fill="FFFFFF"/>
            <w:vAlign w:val="center"/>
          </w:tcPr>
          <w:p w14:paraId="2C4900D9">
            <w:pPr>
              <w:spacing w:line="480" w:lineRule="auto"/>
              <w:rPr>
                <w:rStyle w:val="170"/>
                <w:rFonts w:eastAsiaTheme="majorEastAsia"/>
                <w:b/>
                <w:color w:val="auto"/>
                <w:sz w:val="20"/>
                <w:szCs w:val="20"/>
              </w:rPr>
            </w:pPr>
            <w:r>
              <w:rPr>
                <w:rStyle w:val="170"/>
                <w:b/>
                <w:color w:val="auto"/>
                <w:sz w:val="20"/>
                <w:szCs w:val="20"/>
              </w:rPr>
              <w:t>Наименование ПОО</w:t>
            </w:r>
          </w:p>
          <w:p w14:paraId="5BEC7902">
            <w:pPr>
              <w:spacing w:line="170" w:lineRule="exact"/>
              <w:rPr>
                <w:b/>
              </w:rPr>
            </w:pPr>
          </w:p>
        </w:tc>
        <w:tc>
          <w:tcPr>
            <w:tcW w:w="1969" w:type="dxa"/>
            <w:gridSpan w:val="2"/>
            <w:vMerge w:val="restart"/>
            <w:tcBorders>
              <w:top w:val="single" w:color="auto" w:sz="4" w:space="0"/>
              <w:left w:val="single" w:color="auto" w:sz="4" w:space="0"/>
            </w:tcBorders>
            <w:shd w:val="clear" w:color="auto" w:fill="FFFFFF"/>
            <w:vAlign w:val="bottom"/>
          </w:tcPr>
          <w:p w14:paraId="4DB52848">
            <w:pPr>
              <w:spacing w:line="480" w:lineRule="auto"/>
              <w:jc w:val="center"/>
              <w:rPr>
                <w:rStyle w:val="170"/>
                <w:rFonts w:eastAsiaTheme="majorEastAsia"/>
                <w:b/>
                <w:color w:val="auto"/>
                <w:sz w:val="20"/>
                <w:szCs w:val="20"/>
              </w:rPr>
            </w:pPr>
            <w:r>
              <w:rPr>
                <w:rStyle w:val="170"/>
                <w:b/>
                <w:color w:val="auto"/>
                <w:sz w:val="20"/>
                <w:szCs w:val="20"/>
              </w:rPr>
              <w:t>Количество объектов, ед.</w:t>
            </w:r>
          </w:p>
        </w:tc>
        <w:tc>
          <w:tcPr>
            <w:tcW w:w="1984" w:type="dxa"/>
            <w:gridSpan w:val="2"/>
            <w:vMerge w:val="restart"/>
            <w:tcBorders>
              <w:top w:val="single" w:color="auto" w:sz="4" w:space="0"/>
              <w:left w:val="single" w:color="auto" w:sz="4" w:space="0"/>
            </w:tcBorders>
            <w:shd w:val="clear" w:color="auto" w:fill="FFFFFF"/>
          </w:tcPr>
          <w:p w14:paraId="543D6141">
            <w:pPr>
              <w:spacing w:line="276" w:lineRule="auto"/>
              <w:jc w:val="center"/>
              <w:rPr>
                <w:rStyle w:val="170"/>
                <w:rFonts w:eastAsiaTheme="majorEastAsia"/>
                <w:b/>
                <w:color w:val="auto"/>
                <w:sz w:val="20"/>
                <w:szCs w:val="20"/>
              </w:rPr>
            </w:pPr>
            <w:r>
              <w:rPr>
                <w:rStyle w:val="170"/>
                <w:b/>
                <w:color w:val="auto"/>
                <w:sz w:val="20"/>
                <w:szCs w:val="20"/>
              </w:rPr>
              <w:t>Численность</w:t>
            </w:r>
            <w:r>
              <w:rPr>
                <w:rStyle w:val="170"/>
                <w:rFonts w:eastAsiaTheme="majorEastAsia"/>
                <w:b/>
                <w:color w:val="auto"/>
                <w:sz w:val="20"/>
                <w:szCs w:val="20"/>
              </w:rPr>
              <w:t xml:space="preserve"> </w:t>
            </w:r>
            <w:r>
              <w:rPr>
                <w:rStyle w:val="170"/>
                <w:b/>
                <w:color w:val="auto"/>
                <w:sz w:val="20"/>
                <w:szCs w:val="20"/>
              </w:rPr>
              <w:t>населения в зоне вероятной</w:t>
            </w:r>
            <w:r>
              <w:rPr>
                <w:rStyle w:val="170"/>
                <w:rFonts w:eastAsiaTheme="majorEastAsia"/>
                <w:b/>
                <w:color w:val="auto"/>
                <w:sz w:val="20"/>
                <w:szCs w:val="20"/>
              </w:rPr>
              <w:t xml:space="preserve"> </w:t>
            </w:r>
            <w:r>
              <w:rPr>
                <w:rStyle w:val="170"/>
                <w:b/>
                <w:color w:val="auto"/>
                <w:sz w:val="20"/>
                <w:szCs w:val="20"/>
              </w:rPr>
              <w:t>ЧС, тыс. чел</w:t>
            </w:r>
          </w:p>
        </w:tc>
        <w:tc>
          <w:tcPr>
            <w:tcW w:w="3832" w:type="dxa"/>
            <w:gridSpan w:val="4"/>
            <w:tcBorders>
              <w:top w:val="single" w:color="auto" w:sz="4" w:space="0"/>
              <w:left w:val="single" w:color="auto" w:sz="4" w:space="0"/>
              <w:bottom w:val="single" w:color="auto" w:sz="4" w:space="0"/>
              <w:right w:val="single" w:color="auto" w:sz="4" w:space="0"/>
            </w:tcBorders>
            <w:shd w:val="clear" w:color="auto" w:fill="FFFFFF"/>
            <w:vAlign w:val="bottom"/>
          </w:tcPr>
          <w:p w14:paraId="474C6693">
            <w:pPr>
              <w:spacing w:line="600" w:lineRule="auto"/>
              <w:jc w:val="center"/>
              <w:rPr>
                <w:rStyle w:val="170"/>
                <w:rFonts w:eastAsiaTheme="majorEastAsia"/>
                <w:b/>
                <w:bCs/>
                <w:color w:val="auto"/>
              </w:rPr>
            </w:pPr>
            <w:r>
              <w:rPr>
                <w:rStyle w:val="170"/>
                <w:rFonts w:eastAsiaTheme="majorEastAsia"/>
                <w:b/>
                <w:color w:val="auto"/>
                <w:sz w:val="20"/>
                <w:szCs w:val="20"/>
              </w:rPr>
              <w:t>Степень износа, %</w:t>
            </w:r>
          </w:p>
        </w:tc>
      </w:tr>
      <w:tr w14:paraId="62948E9B">
        <w:tblPrEx>
          <w:tblCellMar>
            <w:top w:w="0" w:type="dxa"/>
            <w:left w:w="10" w:type="dxa"/>
            <w:bottom w:w="0" w:type="dxa"/>
            <w:right w:w="10" w:type="dxa"/>
          </w:tblCellMar>
        </w:tblPrEx>
        <w:trPr>
          <w:trHeight w:val="754" w:hRule="exact"/>
        </w:trPr>
        <w:tc>
          <w:tcPr>
            <w:tcW w:w="2294" w:type="dxa"/>
            <w:vMerge w:val="continue"/>
            <w:tcBorders>
              <w:left w:val="single" w:color="auto" w:sz="4" w:space="0"/>
            </w:tcBorders>
            <w:shd w:val="clear" w:color="auto" w:fill="FFFFFF"/>
            <w:vAlign w:val="center"/>
          </w:tcPr>
          <w:p w14:paraId="083F3F9C">
            <w:pPr>
              <w:spacing w:line="170" w:lineRule="exact"/>
              <w:rPr>
                <w:rStyle w:val="170"/>
                <w:rFonts w:eastAsiaTheme="majorEastAsia"/>
                <w:b/>
                <w:color w:val="auto"/>
                <w:sz w:val="20"/>
                <w:szCs w:val="20"/>
              </w:rPr>
            </w:pPr>
          </w:p>
        </w:tc>
        <w:tc>
          <w:tcPr>
            <w:tcW w:w="1969" w:type="dxa"/>
            <w:gridSpan w:val="2"/>
            <w:vMerge w:val="continue"/>
            <w:tcBorders>
              <w:left w:val="single" w:color="auto" w:sz="4" w:space="0"/>
            </w:tcBorders>
            <w:shd w:val="clear" w:color="auto" w:fill="FFFFFF"/>
            <w:vAlign w:val="bottom"/>
          </w:tcPr>
          <w:p w14:paraId="01E17936">
            <w:pPr>
              <w:spacing w:line="600" w:lineRule="auto"/>
              <w:rPr>
                <w:rStyle w:val="170"/>
                <w:rFonts w:eastAsiaTheme="majorEastAsia"/>
                <w:b/>
                <w:color w:val="auto"/>
                <w:sz w:val="20"/>
                <w:szCs w:val="20"/>
              </w:rPr>
            </w:pPr>
          </w:p>
        </w:tc>
        <w:tc>
          <w:tcPr>
            <w:tcW w:w="1984" w:type="dxa"/>
            <w:gridSpan w:val="2"/>
            <w:vMerge w:val="continue"/>
            <w:tcBorders>
              <w:left w:val="single" w:color="auto" w:sz="4" w:space="0"/>
            </w:tcBorders>
            <w:shd w:val="clear" w:color="auto" w:fill="FFFFFF"/>
          </w:tcPr>
          <w:p w14:paraId="319B652E">
            <w:pPr>
              <w:spacing w:line="170" w:lineRule="exact"/>
              <w:rPr>
                <w:rStyle w:val="170"/>
                <w:rFonts w:eastAsiaTheme="majorEastAsia"/>
                <w:b/>
                <w:color w:val="auto"/>
                <w:sz w:val="20"/>
                <w:szCs w:val="20"/>
              </w:rPr>
            </w:pPr>
          </w:p>
        </w:tc>
        <w:tc>
          <w:tcPr>
            <w:tcW w:w="1985" w:type="dxa"/>
            <w:gridSpan w:val="2"/>
            <w:tcBorders>
              <w:top w:val="single" w:color="auto" w:sz="4" w:space="0"/>
              <w:left w:val="single" w:color="auto" w:sz="4" w:space="0"/>
            </w:tcBorders>
            <w:shd w:val="clear" w:color="auto" w:fill="FFFFFF"/>
            <w:vAlign w:val="bottom"/>
          </w:tcPr>
          <w:p w14:paraId="5B5B96E9">
            <w:pPr>
              <w:jc w:val="center"/>
              <w:rPr>
                <w:rStyle w:val="170"/>
                <w:rFonts w:eastAsiaTheme="majorEastAsia"/>
                <w:b/>
                <w:color w:val="auto"/>
                <w:sz w:val="20"/>
                <w:szCs w:val="20"/>
              </w:rPr>
            </w:pPr>
            <w:r>
              <w:rPr>
                <w:rStyle w:val="170"/>
                <w:b/>
                <w:color w:val="auto"/>
                <w:sz w:val="20"/>
                <w:szCs w:val="20"/>
              </w:rPr>
              <w:t>Основных</w:t>
            </w:r>
          </w:p>
          <w:p w14:paraId="0B6CFA7D">
            <w:pPr>
              <w:jc w:val="center"/>
              <w:rPr>
                <w:rStyle w:val="170"/>
                <w:rFonts w:eastAsiaTheme="majorEastAsia"/>
                <w:b/>
                <w:color w:val="auto"/>
                <w:sz w:val="20"/>
                <w:szCs w:val="20"/>
              </w:rPr>
            </w:pPr>
            <w:r>
              <w:rPr>
                <w:rStyle w:val="170"/>
                <w:b/>
                <w:color w:val="auto"/>
                <w:sz w:val="20"/>
                <w:szCs w:val="20"/>
              </w:rPr>
              <w:t>производственных</w:t>
            </w:r>
          </w:p>
          <w:p w14:paraId="6EFF7F99">
            <w:pPr>
              <w:jc w:val="center"/>
              <w:rPr>
                <w:rStyle w:val="170"/>
                <w:rFonts w:eastAsiaTheme="majorEastAsia"/>
                <w:b/>
                <w:bCs/>
                <w:color w:val="auto"/>
              </w:rPr>
            </w:pPr>
            <w:r>
              <w:rPr>
                <w:rStyle w:val="170"/>
                <w:b/>
                <w:color w:val="auto"/>
                <w:sz w:val="20"/>
                <w:szCs w:val="20"/>
              </w:rPr>
              <w:t>фондов</w:t>
            </w:r>
          </w:p>
        </w:tc>
        <w:tc>
          <w:tcPr>
            <w:tcW w:w="1847" w:type="dxa"/>
            <w:gridSpan w:val="2"/>
            <w:tcBorders>
              <w:top w:val="single" w:color="auto" w:sz="4" w:space="0"/>
              <w:left w:val="single" w:color="auto" w:sz="4" w:space="0"/>
              <w:right w:val="single" w:color="auto" w:sz="4" w:space="0"/>
            </w:tcBorders>
            <w:shd w:val="clear" w:color="auto" w:fill="FFFFFF"/>
            <w:vAlign w:val="bottom"/>
          </w:tcPr>
          <w:p w14:paraId="78324A57">
            <w:pPr>
              <w:spacing w:line="720" w:lineRule="auto"/>
              <w:jc w:val="center"/>
              <w:rPr>
                <w:rStyle w:val="170"/>
                <w:rFonts w:eastAsiaTheme="majorEastAsia"/>
                <w:b/>
                <w:bCs/>
                <w:color w:val="auto"/>
              </w:rPr>
            </w:pPr>
            <w:r>
              <w:rPr>
                <w:rStyle w:val="170"/>
                <w:rFonts w:eastAsiaTheme="majorEastAsia"/>
                <w:b/>
                <w:bCs/>
                <w:color w:val="auto"/>
                <w:sz w:val="20"/>
                <w:szCs w:val="20"/>
              </w:rPr>
              <w:t>Систем защиты</w:t>
            </w:r>
          </w:p>
        </w:tc>
      </w:tr>
      <w:tr w14:paraId="75CB5590">
        <w:tblPrEx>
          <w:tblCellMar>
            <w:top w:w="0" w:type="dxa"/>
            <w:left w:w="10" w:type="dxa"/>
            <w:bottom w:w="0" w:type="dxa"/>
            <w:right w:w="10" w:type="dxa"/>
          </w:tblCellMar>
        </w:tblPrEx>
        <w:trPr>
          <w:trHeight w:val="696" w:hRule="exact"/>
        </w:trPr>
        <w:tc>
          <w:tcPr>
            <w:tcW w:w="2294" w:type="dxa"/>
            <w:tcBorders>
              <w:top w:val="single" w:color="auto" w:sz="4" w:space="0"/>
              <w:left w:val="single" w:color="auto" w:sz="4" w:space="0"/>
            </w:tcBorders>
            <w:shd w:val="clear" w:color="auto" w:fill="FFFFFF"/>
            <w:vAlign w:val="center"/>
          </w:tcPr>
          <w:p w14:paraId="7D7DE96A">
            <w:pPr>
              <w:spacing w:line="170" w:lineRule="exact"/>
              <w:rPr>
                <w:lang w:val="ru-RU"/>
              </w:rPr>
            </w:pPr>
          </w:p>
        </w:tc>
        <w:tc>
          <w:tcPr>
            <w:tcW w:w="977" w:type="dxa"/>
            <w:tcBorders>
              <w:top w:val="single" w:color="auto" w:sz="4" w:space="0"/>
              <w:left w:val="single" w:color="auto" w:sz="4" w:space="0"/>
            </w:tcBorders>
            <w:shd w:val="clear" w:color="auto" w:fill="FFFFFF"/>
            <w:vAlign w:val="bottom"/>
          </w:tcPr>
          <w:p w14:paraId="3292D1B4">
            <w:pPr>
              <w:spacing w:before="240" w:line="720" w:lineRule="auto"/>
              <w:jc w:val="center"/>
              <w:rPr>
                <w:sz w:val="20"/>
                <w:szCs w:val="20"/>
              </w:rPr>
            </w:pPr>
            <w:r>
              <w:rPr>
                <w:rStyle w:val="170"/>
                <w:rFonts w:eastAsiaTheme="majorEastAsia"/>
                <w:b/>
                <w:bCs/>
                <w:color w:val="auto"/>
                <w:sz w:val="20"/>
                <w:szCs w:val="20"/>
              </w:rPr>
              <w:t>20</w:t>
            </w:r>
            <w:r>
              <w:rPr>
                <w:rStyle w:val="170"/>
                <w:rFonts w:eastAsiaTheme="majorEastAsia"/>
                <w:b/>
                <w:bCs/>
                <w:color w:val="auto"/>
                <w:sz w:val="20"/>
                <w:szCs w:val="20"/>
                <w:lang w:val="en-US"/>
              </w:rPr>
              <w:t>2</w:t>
            </w:r>
            <w:r>
              <w:rPr>
                <w:rStyle w:val="170"/>
                <w:rFonts w:eastAsiaTheme="majorEastAsia"/>
                <w:b/>
                <w:bCs/>
                <w:color w:val="auto"/>
                <w:sz w:val="20"/>
                <w:szCs w:val="20"/>
              </w:rPr>
              <w:t>3 г.</w:t>
            </w:r>
          </w:p>
        </w:tc>
        <w:tc>
          <w:tcPr>
            <w:tcW w:w="992" w:type="dxa"/>
            <w:tcBorders>
              <w:top w:val="single" w:color="auto" w:sz="4" w:space="0"/>
              <w:left w:val="single" w:color="auto" w:sz="4" w:space="0"/>
            </w:tcBorders>
            <w:shd w:val="clear" w:color="auto" w:fill="FFFFFF"/>
            <w:vAlign w:val="bottom"/>
          </w:tcPr>
          <w:p w14:paraId="71A1E08F">
            <w:pPr>
              <w:spacing w:before="240" w:line="720" w:lineRule="auto"/>
              <w:jc w:val="center"/>
              <w:rPr>
                <w:rStyle w:val="170"/>
                <w:rFonts w:eastAsiaTheme="majorEastAsia"/>
                <w:b/>
                <w:bCs/>
                <w:color w:val="auto"/>
                <w:sz w:val="20"/>
                <w:szCs w:val="20"/>
              </w:rPr>
            </w:pPr>
            <w:r>
              <w:rPr>
                <w:rStyle w:val="170"/>
                <w:rFonts w:eastAsiaTheme="majorEastAsia"/>
                <w:b/>
                <w:bCs/>
                <w:color w:val="auto"/>
                <w:sz w:val="20"/>
                <w:szCs w:val="20"/>
                <w:lang w:val="en-US"/>
              </w:rPr>
              <w:t>202</w:t>
            </w:r>
            <w:r>
              <w:rPr>
                <w:rStyle w:val="170"/>
                <w:rFonts w:eastAsiaTheme="majorEastAsia"/>
                <w:b/>
                <w:bCs/>
                <w:color w:val="auto"/>
                <w:sz w:val="20"/>
                <w:szCs w:val="20"/>
              </w:rPr>
              <w:t>4г.</w:t>
            </w:r>
          </w:p>
        </w:tc>
        <w:tc>
          <w:tcPr>
            <w:tcW w:w="992" w:type="dxa"/>
            <w:tcBorders>
              <w:top w:val="single" w:color="auto" w:sz="4" w:space="0"/>
              <w:left w:val="single" w:color="auto" w:sz="4" w:space="0"/>
            </w:tcBorders>
            <w:shd w:val="clear" w:color="auto" w:fill="FFFFFF"/>
            <w:vAlign w:val="bottom"/>
          </w:tcPr>
          <w:p w14:paraId="4C80AF56">
            <w:pPr>
              <w:spacing w:before="240" w:line="720" w:lineRule="auto"/>
              <w:jc w:val="center"/>
              <w:rPr>
                <w:sz w:val="20"/>
                <w:szCs w:val="20"/>
              </w:rPr>
            </w:pPr>
            <w:r>
              <w:rPr>
                <w:rStyle w:val="170"/>
                <w:rFonts w:eastAsiaTheme="majorEastAsia"/>
                <w:b/>
                <w:bCs/>
                <w:color w:val="auto"/>
                <w:sz w:val="20"/>
                <w:szCs w:val="20"/>
                <w:lang w:val="en-US"/>
              </w:rPr>
              <w:t>202</w:t>
            </w:r>
            <w:r>
              <w:rPr>
                <w:rStyle w:val="170"/>
                <w:rFonts w:eastAsiaTheme="majorEastAsia"/>
                <w:b/>
                <w:bCs/>
                <w:color w:val="auto"/>
                <w:sz w:val="20"/>
                <w:szCs w:val="20"/>
              </w:rPr>
              <w:t>3г.</w:t>
            </w:r>
          </w:p>
        </w:tc>
        <w:tc>
          <w:tcPr>
            <w:tcW w:w="992" w:type="dxa"/>
            <w:tcBorders>
              <w:top w:val="single" w:color="auto" w:sz="4" w:space="0"/>
              <w:left w:val="single" w:color="auto" w:sz="4" w:space="0"/>
            </w:tcBorders>
            <w:shd w:val="clear" w:color="auto" w:fill="FFFFFF"/>
            <w:vAlign w:val="bottom"/>
          </w:tcPr>
          <w:p w14:paraId="15283CB3">
            <w:pPr>
              <w:spacing w:before="240" w:line="720" w:lineRule="auto"/>
              <w:jc w:val="center"/>
              <w:rPr>
                <w:rStyle w:val="170"/>
                <w:rFonts w:eastAsiaTheme="majorEastAsia"/>
                <w:b/>
                <w:bCs/>
                <w:color w:val="auto"/>
                <w:sz w:val="20"/>
                <w:szCs w:val="20"/>
              </w:rPr>
            </w:pPr>
            <w:r>
              <w:rPr>
                <w:rStyle w:val="170"/>
                <w:rFonts w:eastAsiaTheme="majorEastAsia"/>
                <w:b/>
                <w:bCs/>
                <w:color w:val="auto"/>
                <w:sz w:val="20"/>
                <w:szCs w:val="20"/>
                <w:lang w:val="en-US"/>
              </w:rPr>
              <w:t>202</w:t>
            </w:r>
            <w:r>
              <w:rPr>
                <w:rStyle w:val="170"/>
                <w:rFonts w:eastAsiaTheme="majorEastAsia"/>
                <w:b/>
                <w:bCs/>
                <w:color w:val="auto"/>
                <w:sz w:val="20"/>
                <w:szCs w:val="20"/>
              </w:rPr>
              <w:t>4г.</w:t>
            </w:r>
          </w:p>
        </w:tc>
        <w:tc>
          <w:tcPr>
            <w:tcW w:w="993" w:type="dxa"/>
            <w:tcBorders>
              <w:top w:val="single" w:color="auto" w:sz="4" w:space="0"/>
              <w:left w:val="single" w:color="auto" w:sz="4" w:space="0"/>
            </w:tcBorders>
            <w:shd w:val="clear" w:color="auto" w:fill="FFFFFF"/>
            <w:vAlign w:val="bottom"/>
          </w:tcPr>
          <w:p w14:paraId="43C162E9">
            <w:pPr>
              <w:spacing w:before="240" w:line="720" w:lineRule="auto"/>
              <w:jc w:val="center"/>
              <w:rPr>
                <w:sz w:val="20"/>
                <w:szCs w:val="20"/>
              </w:rPr>
            </w:pPr>
            <w:r>
              <w:rPr>
                <w:rStyle w:val="170"/>
                <w:rFonts w:eastAsiaTheme="majorEastAsia"/>
                <w:b/>
                <w:bCs/>
                <w:color w:val="auto"/>
                <w:sz w:val="20"/>
                <w:szCs w:val="20"/>
                <w:lang w:val="en-US"/>
              </w:rPr>
              <w:t>202</w:t>
            </w:r>
            <w:r>
              <w:rPr>
                <w:rStyle w:val="170"/>
                <w:rFonts w:eastAsiaTheme="majorEastAsia"/>
                <w:b/>
                <w:bCs/>
                <w:color w:val="auto"/>
                <w:sz w:val="20"/>
                <w:szCs w:val="20"/>
              </w:rPr>
              <w:t>3г.</w:t>
            </w:r>
          </w:p>
        </w:tc>
        <w:tc>
          <w:tcPr>
            <w:tcW w:w="992" w:type="dxa"/>
            <w:tcBorders>
              <w:top w:val="single" w:color="auto" w:sz="4" w:space="0"/>
              <w:left w:val="single" w:color="auto" w:sz="4" w:space="0"/>
            </w:tcBorders>
            <w:shd w:val="clear" w:color="auto" w:fill="FFFFFF"/>
            <w:vAlign w:val="bottom"/>
          </w:tcPr>
          <w:p w14:paraId="040BF2A3">
            <w:pPr>
              <w:spacing w:before="240" w:line="720" w:lineRule="auto"/>
              <w:jc w:val="center"/>
              <w:rPr>
                <w:rStyle w:val="170"/>
                <w:rFonts w:eastAsiaTheme="majorEastAsia"/>
                <w:b/>
                <w:bCs/>
                <w:color w:val="auto"/>
                <w:sz w:val="20"/>
                <w:szCs w:val="20"/>
              </w:rPr>
            </w:pPr>
            <w:r>
              <w:rPr>
                <w:rStyle w:val="170"/>
                <w:rFonts w:eastAsiaTheme="majorEastAsia"/>
                <w:b/>
                <w:bCs/>
                <w:color w:val="auto"/>
                <w:sz w:val="20"/>
                <w:szCs w:val="20"/>
                <w:lang w:val="en-US"/>
              </w:rPr>
              <w:t>202</w:t>
            </w:r>
            <w:r>
              <w:rPr>
                <w:rStyle w:val="170"/>
                <w:rFonts w:eastAsiaTheme="majorEastAsia"/>
                <w:b/>
                <w:bCs/>
                <w:color w:val="auto"/>
                <w:sz w:val="20"/>
                <w:szCs w:val="20"/>
              </w:rPr>
              <w:t>4г.</w:t>
            </w:r>
          </w:p>
        </w:tc>
        <w:tc>
          <w:tcPr>
            <w:tcW w:w="992" w:type="dxa"/>
            <w:tcBorders>
              <w:top w:val="single" w:color="auto" w:sz="4" w:space="0"/>
              <w:left w:val="single" w:color="auto" w:sz="4" w:space="0"/>
            </w:tcBorders>
            <w:shd w:val="clear" w:color="auto" w:fill="FFFFFF"/>
            <w:vAlign w:val="bottom"/>
          </w:tcPr>
          <w:p w14:paraId="3D7664C3">
            <w:pPr>
              <w:spacing w:before="240" w:line="720" w:lineRule="auto"/>
              <w:jc w:val="center"/>
              <w:rPr>
                <w:sz w:val="20"/>
                <w:szCs w:val="20"/>
              </w:rPr>
            </w:pPr>
            <w:r>
              <w:rPr>
                <w:rStyle w:val="170"/>
                <w:rFonts w:eastAsiaTheme="majorEastAsia"/>
                <w:b/>
                <w:bCs/>
                <w:color w:val="auto"/>
                <w:sz w:val="20"/>
                <w:szCs w:val="20"/>
                <w:lang w:val="en-US"/>
              </w:rPr>
              <w:t>202</w:t>
            </w:r>
            <w:r>
              <w:rPr>
                <w:rStyle w:val="170"/>
                <w:rFonts w:eastAsiaTheme="majorEastAsia"/>
                <w:b/>
                <w:bCs/>
                <w:color w:val="auto"/>
                <w:sz w:val="20"/>
                <w:szCs w:val="20"/>
              </w:rPr>
              <w:t>3г.</w:t>
            </w:r>
          </w:p>
        </w:tc>
        <w:tc>
          <w:tcPr>
            <w:tcW w:w="855" w:type="dxa"/>
            <w:tcBorders>
              <w:top w:val="single" w:color="auto" w:sz="4" w:space="0"/>
              <w:left w:val="single" w:color="auto" w:sz="4" w:space="0"/>
              <w:right w:val="single" w:color="auto" w:sz="4" w:space="0"/>
            </w:tcBorders>
            <w:shd w:val="clear" w:color="auto" w:fill="FFFFFF"/>
            <w:vAlign w:val="bottom"/>
          </w:tcPr>
          <w:p w14:paraId="73B75320">
            <w:pPr>
              <w:spacing w:before="240" w:line="720" w:lineRule="auto"/>
              <w:jc w:val="center"/>
              <w:rPr>
                <w:rStyle w:val="170"/>
                <w:rFonts w:eastAsiaTheme="majorEastAsia"/>
                <w:b/>
                <w:bCs/>
                <w:color w:val="auto"/>
                <w:sz w:val="20"/>
                <w:szCs w:val="20"/>
              </w:rPr>
            </w:pPr>
            <w:r>
              <w:rPr>
                <w:rStyle w:val="170"/>
                <w:rFonts w:eastAsiaTheme="majorEastAsia"/>
                <w:b/>
                <w:bCs/>
                <w:color w:val="auto"/>
                <w:sz w:val="20"/>
                <w:szCs w:val="20"/>
                <w:lang w:val="en-US"/>
              </w:rPr>
              <w:t>202</w:t>
            </w:r>
            <w:r>
              <w:rPr>
                <w:rStyle w:val="170"/>
                <w:rFonts w:eastAsiaTheme="majorEastAsia"/>
                <w:b/>
                <w:bCs/>
                <w:color w:val="auto"/>
                <w:sz w:val="20"/>
                <w:szCs w:val="20"/>
              </w:rPr>
              <w:t>4г.</w:t>
            </w:r>
          </w:p>
        </w:tc>
      </w:tr>
      <w:tr w14:paraId="71E0C91B">
        <w:tblPrEx>
          <w:tblCellMar>
            <w:top w:w="0" w:type="dxa"/>
            <w:left w:w="10" w:type="dxa"/>
            <w:bottom w:w="0" w:type="dxa"/>
            <w:right w:w="10" w:type="dxa"/>
          </w:tblCellMar>
        </w:tblPrEx>
        <w:trPr>
          <w:trHeight w:val="264" w:hRule="exact"/>
        </w:trPr>
        <w:tc>
          <w:tcPr>
            <w:tcW w:w="2294" w:type="dxa"/>
            <w:tcBorders>
              <w:top w:val="single" w:color="auto" w:sz="4" w:space="0"/>
              <w:left w:val="single" w:color="auto" w:sz="4" w:space="0"/>
            </w:tcBorders>
            <w:shd w:val="clear" w:color="auto" w:fill="FFFFFF"/>
            <w:vAlign w:val="center"/>
          </w:tcPr>
          <w:p w14:paraId="15E0DA56">
            <w:pPr>
              <w:spacing w:line="600" w:lineRule="auto"/>
              <w:rPr>
                <w:sz w:val="20"/>
                <w:szCs w:val="20"/>
              </w:rPr>
            </w:pPr>
            <w:r>
              <w:rPr>
                <w:rStyle w:val="170"/>
                <w:rFonts w:eastAsiaTheme="majorEastAsia"/>
                <w:color w:val="auto"/>
                <w:sz w:val="20"/>
                <w:szCs w:val="20"/>
              </w:rPr>
              <w:t xml:space="preserve">Радиационно </w:t>
            </w:r>
            <w:r>
              <w:rPr>
                <w:rStyle w:val="170"/>
                <w:color w:val="auto"/>
                <w:sz w:val="20"/>
                <w:szCs w:val="20"/>
              </w:rPr>
              <w:t>опасные</w:t>
            </w:r>
          </w:p>
        </w:tc>
        <w:tc>
          <w:tcPr>
            <w:tcW w:w="977" w:type="dxa"/>
            <w:tcBorders>
              <w:top w:val="single" w:color="auto" w:sz="4" w:space="0"/>
              <w:left w:val="single" w:color="auto" w:sz="4" w:space="0"/>
            </w:tcBorders>
            <w:shd w:val="clear" w:color="auto" w:fill="FFFFFF"/>
            <w:vAlign w:val="bottom"/>
          </w:tcPr>
          <w:p w14:paraId="7EA7DEFD">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5886B6C8">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587AB3BE">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33D4DFE8">
            <w:pPr>
              <w:spacing w:line="600" w:lineRule="auto"/>
              <w:jc w:val="center"/>
              <w:rPr>
                <w:sz w:val="20"/>
                <w:szCs w:val="20"/>
              </w:rPr>
            </w:pPr>
            <w:r>
              <w:rPr>
                <w:rStyle w:val="172"/>
                <w:sz w:val="20"/>
                <w:szCs w:val="20"/>
              </w:rPr>
              <w:t>0</w:t>
            </w:r>
          </w:p>
        </w:tc>
        <w:tc>
          <w:tcPr>
            <w:tcW w:w="993" w:type="dxa"/>
            <w:tcBorders>
              <w:top w:val="single" w:color="auto" w:sz="4" w:space="0"/>
              <w:left w:val="single" w:color="auto" w:sz="4" w:space="0"/>
            </w:tcBorders>
            <w:shd w:val="clear" w:color="auto" w:fill="FFFFFF"/>
            <w:vAlign w:val="bottom"/>
          </w:tcPr>
          <w:p w14:paraId="0C2145C6">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5642DE2A">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3B4A15F4">
            <w:pPr>
              <w:spacing w:line="600" w:lineRule="auto"/>
              <w:jc w:val="center"/>
              <w:rPr>
                <w:sz w:val="20"/>
                <w:szCs w:val="20"/>
              </w:rPr>
            </w:pPr>
            <w:r>
              <w:rPr>
                <w:rStyle w:val="172"/>
                <w:sz w:val="20"/>
                <w:szCs w:val="20"/>
              </w:rPr>
              <w:t>0</w:t>
            </w:r>
          </w:p>
        </w:tc>
        <w:tc>
          <w:tcPr>
            <w:tcW w:w="855" w:type="dxa"/>
            <w:tcBorders>
              <w:top w:val="single" w:color="auto" w:sz="4" w:space="0"/>
              <w:left w:val="single" w:color="auto" w:sz="4" w:space="0"/>
              <w:right w:val="single" w:color="auto" w:sz="4" w:space="0"/>
            </w:tcBorders>
            <w:shd w:val="clear" w:color="auto" w:fill="FFFFFF"/>
            <w:vAlign w:val="bottom"/>
          </w:tcPr>
          <w:p w14:paraId="1FBD9A0F">
            <w:pPr>
              <w:spacing w:line="600" w:lineRule="auto"/>
              <w:jc w:val="center"/>
              <w:rPr>
                <w:sz w:val="20"/>
                <w:szCs w:val="20"/>
              </w:rPr>
            </w:pPr>
            <w:r>
              <w:rPr>
                <w:rStyle w:val="172"/>
                <w:sz w:val="20"/>
                <w:szCs w:val="20"/>
              </w:rPr>
              <w:t>0</w:t>
            </w:r>
          </w:p>
        </w:tc>
      </w:tr>
      <w:tr w14:paraId="5B5D3B6E">
        <w:tblPrEx>
          <w:tblCellMar>
            <w:top w:w="0" w:type="dxa"/>
            <w:left w:w="10" w:type="dxa"/>
            <w:bottom w:w="0" w:type="dxa"/>
            <w:right w:w="10" w:type="dxa"/>
          </w:tblCellMar>
        </w:tblPrEx>
        <w:trPr>
          <w:trHeight w:val="282" w:hRule="exact"/>
        </w:trPr>
        <w:tc>
          <w:tcPr>
            <w:tcW w:w="2294" w:type="dxa"/>
            <w:tcBorders>
              <w:top w:val="single" w:color="auto" w:sz="4" w:space="0"/>
              <w:left w:val="single" w:color="auto" w:sz="4" w:space="0"/>
            </w:tcBorders>
            <w:shd w:val="clear" w:color="auto" w:fill="FFFFFF"/>
            <w:vAlign w:val="bottom"/>
          </w:tcPr>
          <w:p w14:paraId="0271BCE0">
            <w:pPr>
              <w:spacing w:line="600" w:lineRule="auto"/>
              <w:rPr>
                <w:sz w:val="20"/>
                <w:szCs w:val="20"/>
              </w:rPr>
            </w:pPr>
            <w:r>
              <w:rPr>
                <w:rStyle w:val="170"/>
                <w:color w:val="auto"/>
                <w:sz w:val="20"/>
                <w:szCs w:val="20"/>
              </w:rPr>
              <w:t>Химически опасные</w:t>
            </w:r>
          </w:p>
        </w:tc>
        <w:tc>
          <w:tcPr>
            <w:tcW w:w="977" w:type="dxa"/>
            <w:tcBorders>
              <w:top w:val="single" w:color="auto" w:sz="4" w:space="0"/>
              <w:left w:val="single" w:color="auto" w:sz="4" w:space="0"/>
            </w:tcBorders>
            <w:shd w:val="clear" w:color="auto" w:fill="FFFFFF"/>
            <w:vAlign w:val="bottom"/>
          </w:tcPr>
          <w:p w14:paraId="680B7882">
            <w:pPr>
              <w:spacing w:line="600" w:lineRule="auto"/>
              <w:jc w:val="center"/>
              <w:rPr>
                <w:sz w:val="20"/>
                <w:szCs w:val="20"/>
              </w:rPr>
            </w:pPr>
            <w:r>
              <w:rPr>
                <w:rStyle w:val="170"/>
                <w:color w:val="auto"/>
                <w:sz w:val="20"/>
                <w:szCs w:val="20"/>
              </w:rPr>
              <w:t>0</w:t>
            </w:r>
          </w:p>
        </w:tc>
        <w:tc>
          <w:tcPr>
            <w:tcW w:w="992" w:type="dxa"/>
            <w:tcBorders>
              <w:top w:val="single" w:color="auto" w:sz="4" w:space="0"/>
              <w:left w:val="single" w:color="auto" w:sz="4" w:space="0"/>
            </w:tcBorders>
            <w:shd w:val="clear" w:color="auto" w:fill="FFFFFF"/>
            <w:vAlign w:val="bottom"/>
          </w:tcPr>
          <w:p w14:paraId="751EDF07">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1E9BA013">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60FA2F3A">
            <w:pPr>
              <w:spacing w:line="600" w:lineRule="auto"/>
              <w:jc w:val="center"/>
              <w:rPr>
                <w:rStyle w:val="172"/>
                <w:sz w:val="20"/>
                <w:szCs w:val="20"/>
              </w:rPr>
            </w:pPr>
            <w:r>
              <w:rPr>
                <w:rStyle w:val="172"/>
                <w:sz w:val="20"/>
                <w:szCs w:val="20"/>
              </w:rPr>
              <w:t>0</w:t>
            </w:r>
          </w:p>
        </w:tc>
        <w:tc>
          <w:tcPr>
            <w:tcW w:w="993" w:type="dxa"/>
            <w:tcBorders>
              <w:top w:val="single" w:color="auto" w:sz="4" w:space="0"/>
              <w:left w:val="single" w:color="auto" w:sz="4" w:space="0"/>
            </w:tcBorders>
            <w:shd w:val="clear" w:color="auto" w:fill="FFFFFF"/>
            <w:vAlign w:val="bottom"/>
          </w:tcPr>
          <w:p w14:paraId="1BC18EEC">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40EE5050">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0AB7CFB6">
            <w:pPr>
              <w:spacing w:line="600" w:lineRule="auto"/>
              <w:jc w:val="center"/>
              <w:rPr>
                <w:sz w:val="20"/>
                <w:szCs w:val="20"/>
              </w:rPr>
            </w:pPr>
            <w:r>
              <w:rPr>
                <w:rStyle w:val="172"/>
                <w:sz w:val="20"/>
                <w:szCs w:val="20"/>
              </w:rPr>
              <w:t>0</w:t>
            </w:r>
          </w:p>
        </w:tc>
        <w:tc>
          <w:tcPr>
            <w:tcW w:w="855" w:type="dxa"/>
            <w:tcBorders>
              <w:top w:val="single" w:color="auto" w:sz="4" w:space="0"/>
              <w:left w:val="single" w:color="auto" w:sz="4" w:space="0"/>
              <w:right w:val="single" w:color="auto" w:sz="4" w:space="0"/>
            </w:tcBorders>
            <w:shd w:val="clear" w:color="auto" w:fill="FFFFFF"/>
            <w:vAlign w:val="bottom"/>
          </w:tcPr>
          <w:p w14:paraId="4B8FBC14">
            <w:pPr>
              <w:spacing w:line="600" w:lineRule="auto"/>
              <w:jc w:val="center"/>
              <w:rPr>
                <w:sz w:val="20"/>
                <w:szCs w:val="20"/>
              </w:rPr>
            </w:pPr>
            <w:r>
              <w:rPr>
                <w:rStyle w:val="172"/>
                <w:sz w:val="20"/>
                <w:szCs w:val="20"/>
              </w:rPr>
              <w:t>0</w:t>
            </w:r>
          </w:p>
        </w:tc>
      </w:tr>
      <w:tr w14:paraId="3DA89324">
        <w:tblPrEx>
          <w:tblCellMar>
            <w:top w:w="0" w:type="dxa"/>
            <w:left w:w="10" w:type="dxa"/>
            <w:bottom w:w="0" w:type="dxa"/>
            <w:right w:w="10" w:type="dxa"/>
          </w:tblCellMar>
        </w:tblPrEx>
        <w:trPr>
          <w:trHeight w:val="285" w:hRule="exact"/>
        </w:trPr>
        <w:tc>
          <w:tcPr>
            <w:tcW w:w="2294" w:type="dxa"/>
            <w:tcBorders>
              <w:top w:val="single" w:color="auto" w:sz="4" w:space="0"/>
              <w:left w:val="single" w:color="auto" w:sz="4" w:space="0"/>
            </w:tcBorders>
            <w:shd w:val="clear" w:color="auto" w:fill="FFFFFF"/>
            <w:vAlign w:val="center"/>
          </w:tcPr>
          <w:p w14:paraId="1465ACC8">
            <w:pPr>
              <w:spacing w:line="600" w:lineRule="auto"/>
              <w:rPr>
                <w:sz w:val="20"/>
                <w:szCs w:val="20"/>
              </w:rPr>
            </w:pPr>
            <w:r>
              <w:rPr>
                <w:rStyle w:val="170"/>
                <w:color w:val="auto"/>
                <w:sz w:val="20"/>
                <w:szCs w:val="20"/>
              </w:rPr>
              <w:t>Взрывоопасные</w:t>
            </w:r>
          </w:p>
        </w:tc>
        <w:tc>
          <w:tcPr>
            <w:tcW w:w="977" w:type="dxa"/>
            <w:tcBorders>
              <w:top w:val="single" w:color="auto" w:sz="4" w:space="0"/>
              <w:left w:val="single" w:color="auto" w:sz="4" w:space="0"/>
            </w:tcBorders>
            <w:shd w:val="clear" w:color="auto" w:fill="FFFFFF"/>
            <w:vAlign w:val="bottom"/>
          </w:tcPr>
          <w:p w14:paraId="69BAD6C2">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18F84EC0">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79B6340B">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10B22D50">
            <w:pPr>
              <w:spacing w:line="600" w:lineRule="auto"/>
              <w:jc w:val="center"/>
              <w:rPr>
                <w:rStyle w:val="172"/>
                <w:sz w:val="20"/>
                <w:szCs w:val="20"/>
              </w:rPr>
            </w:pPr>
            <w:r>
              <w:rPr>
                <w:rStyle w:val="172"/>
                <w:sz w:val="20"/>
                <w:szCs w:val="20"/>
              </w:rPr>
              <w:t>0</w:t>
            </w:r>
          </w:p>
        </w:tc>
        <w:tc>
          <w:tcPr>
            <w:tcW w:w="993" w:type="dxa"/>
            <w:tcBorders>
              <w:top w:val="single" w:color="auto" w:sz="4" w:space="0"/>
              <w:left w:val="single" w:color="auto" w:sz="4" w:space="0"/>
            </w:tcBorders>
            <w:shd w:val="clear" w:color="auto" w:fill="FFFFFF"/>
            <w:vAlign w:val="bottom"/>
          </w:tcPr>
          <w:p w14:paraId="7F1AD509">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59FF4AF1">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7BC8133F">
            <w:pPr>
              <w:spacing w:line="600" w:lineRule="auto"/>
              <w:jc w:val="center"/>
              <w:rPr>
                <w:sz w:val="20"/>
                <w:szCs w:val="20"/>
              </w:rPr>
            </w:pPr>
            <w:r>
              <w:rPr>
                <w:rStyle w:val="172"/>
                <w:sz w:val="20"/>
                <w:szCs w:val="20"/>
              </w:rPr>
              <w:t>0</w:t>
            </w:r>
          </w:p>
        </w:tc>
        <w:tc>
          <w:tcPr>
            <w:tcW w:w="855" w:type="dxa"/>
            <w:tcBorders>
              <w:top w:val="single" w:color="auto" w:sz="4" w:space="0"/>
              <w:left w:val="single" w:color="auto" w:sz="4" w:space="0"/>
              <w:right w:val="single" w:color="auto" w:sz="4" w:space="0"/>
            </w:tcBorders>
            <w:shd w:val="clear" w:color="auto" w:fill="FFFFFF"/>
            <w:vAlign w:val="bottom"/>
          </w:tcPr>
          <w:p w14:paraId="7BBE5D2C">
            <w:pPr>
              <w:spacing w:line="600" w:lineRule="auto"/>
              <w:jc w:val="center"/>
              <w:rPr>
                <w:sz w:val="20"/>
                <w:szCs w:val="20"/>
              </w:rPr>
            </w:pPr>
            <w:r>
              <w:rPr>
                <w:rStyle w:val="172"/>
                <w:sz w:val="20"/>
                <w:szCs w:val="20"/>
              </w:rPr>
              <w:t>0</w:t>
            </w:r>
          </w:p>
        </w:tc>
      </w:tr>
      <w:tr w14:paraId="43A64F1D">
        <w:tblPrEx>
          <w:tblCellMar>
            <w:top w:w="0" w:type="dxa"/>
            <w:left w:w="10" w:type="dxa"/>
            <w:bottom w:w="0" w:type="dxa"/>
            <w:right w:w="10" w:type="dxa"/>
          </w:tblCellMar>
        </w:tblPrEx>
        <w:trPr>
          <w:trHeight w:val="290" w:hRule="exact"/>
        </w:trPr>
        <w:tc>
          <w:tcPr>
            <w:tcW w:w="2294" w:type="dxa"/>
            <w:tcBorders>
              <w:top w:val="single" w:color="auto" w:sz="4" w:space="0"/>
              <w:left w:val="single" w:color="auto" w:sz="4" w:space="0"/>
            </w:tcBorders>
            <w:shd w:val="clear" w:color="auto" w:fill="FFFFFF"/>
            <w:vAlign w:val="bottom"/>
          </w:tcPr>
          <w:p w14:paraId="453A30DA">
            <w:pPr>
              <w:spacing w:line="600" w:lineRule="auto"/>
              <w:rPr>
                <w:sz w:val="20"/>
                <w:szCs w:val="20"/>
              </w:rPr>
            </w:pPr>
            <w:r>
              <w:rPr>
                <w:rStyle w:val="170"/>
                <w:color w:val="auto"/>
                <w:sz w:val="20"/>
                <w:szCs w:val="20"/>
              </w:rPr>
              <w:t>Пожароопасные</w:t>
            </w:r>
          </w:p>
        </w:tc>
        <w:tc>
          <w:tcPr>
            <w:tcW w:w="977" w:type="dxa"/>
            <w:tcBorders>
              <w:top w:val="single" w:color="auto" w:sz="4" w:space="0"/>
              <w:left w:val="single" w:color="auto" w:sz="4" w:space="0"/>
            </w:tcBorders>
            <w:shd w:val="clear" w:color="auto" w:fill="FFFFFF"/>
            <w:vAlign w:val="bottom"/>
          </w:tcPr>
          <w:p w14:paraId="7F6407E7">
            <w:pPr>
              <w:spacing w:line="600" w:lineRule="auto"/>
              <w:jc w:val="center"/>
              <w:rPr>
                <w:sz w:val="20"/>
                <w:szCs w:val="20"/>
              </w:rPr>
            </w:pPr>
            <w:r>
              <w:rPr>
                <w:rStyle w:val="170"/>
                <w:color w:val="auto"/>
                <w:sz w:val="20"/>
                <w:szCs w:val="20"/>
              </w:rPr>
              <w:t>0</w:t>
            </w:r>
          </w:p>
        </w:tc>
        <w:tc>
          <w:tcPr>
            <w:tcW w:w="992" w:type="dxa"/>
            <w:tcBorders>
              <w:top w:val="single" w:color="auto" w:sz="4" w:space="0"/>
              <w:left w:val="single" w:color="auto" w:sz="4" w:space="0"/>
            </w:tcBorders>
            <w:shd w:val="clear" w:color="auto" w:fill="FFFFFF"/>
            <w:vAlign w:val="bottom"/>
          </w:tcPr>
          <w:p w14:paraId="39C33524">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0D774A97">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10AB5370">
            <w:pPr>
              <w:spacing w:line="600" w:lineRule="auto"/>
              <w:jc w:val="center"/>
              <w:rPr>
                <w:rStyle w:val="172"/>
                <w:sz w:val="20"/>
                <w:szCs w:val="20"/>
              </w:rPr>
            </w:pPr>
            <w:r>
              <w:rPr>
                <w:rStyle w:val="172"/>
                <w:sz w:val="20"/>
                <w:szCs w:val="20"/>
              </w:rPr>
              <w:t>0</w:t>
            </w:r>
          </w:p>
        </w:tc>
        <w:tc>
          <w:tcPr>
            <w:tcW w:w="993" w:type="dxa"/>
            <w:tcBorders>
              <w:top w:val="single" w:color="auto" w:sz="4" w:space="0"/>
              <w:left w:val="single" w:color="auto" w:sz="4" w:space="0"/>
            </w:tcBorders>
            <w:shd w:val="clear" w:color="auto" w:fill="FFFFFF"/>
            <w:vAlign w:val="bottom"/>
          </w:tcPr>
          <w:p w14:paraId="2D70A18C">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43615B62">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48CF28E7">
            <w:pPr>
              <w:spacing w:line="600" w:lineRule="auto"/>
              <w:jc w:val="center"/>
              <w:rPr>
                <w:sz w:val="20"/>
                <w:szCs w:val="20"/>
              </w:rPr>
            </w:pPr>
            <w:r>
              <w:rPr>
                <w:rStyle w:val="172"/>
                <w:sz w:val="20"/>
                <w:szCs w:val="20"/>
              </w:rPr>
              <w:t>0</w:t>
            </w:r>
          </w:p>
        </w:tc>
        <w:tc>
          <w:tcPr>
            <w:tcW w:w="855" w:type="dxa"/>
            <w:tcBorders>
              <w:top w:val="single" w:color="auto" w:sz="4" w:space="0"/>
              <w:left w:val="single" w:color="auto" w:sz="4" w:space="0"/>
              <w:right w:val="single" w:color="auto" w:sz="4" w:space="0"/>
            </w:tcBorders>
            <w:shd w:val="clear" w:color="auto" w:fill="FFFFFF"/>
            <w:vAlign w:val="bottom"/>
          </w:tcPr>
          <w:p w14:paraId="58DD083C">
            <w:pPr>
              <w:spacing w:line="600" w:lineRule="auto"/>
              <w:jc w:val="center"/>
              <w:rPr>
                <w:sz w:val="20"/>
                <w:szCs w:val="20"/>
              </w:rPr>
            </w:pPr>
            <w:r>
              <w:rPr>
                <w:rStyle w:val="172"/>
                <w:sz w:val="20"/>
                <w:szCs w:val="20"/>
              </w:rPr>
              <w:t>0</w:t>
            </w:r>
          </w:p>
        </w:tc>
      </w:tr>
      <w:tr w14:paraId="283DE996">
        <w:tblPrEx>
          <w:tblCellMar>
            <w:top w:w="0" w:type="dxa"/>
            <w:left w:w="10" w:type="dxa"/>
            <w:bottom w:w="0" w:type="dxa"/>
            <w:right w:w="10" w:type="dxa"/>
          </w:tblCellMar>
        </w:tblPrEx>
        <w:trPr>
          <w:trHeight w:val="332" w:hRule="exact"/>
        </w:trPr>
        <w:tc>
          <w:tcPr>
            <w:tcW w:w="2294" w:type="dxa"/>
            <w:tcBorders>
              <w:top w:val="single" w:color="auto" w:sz="4" w:space="0"/>
              <w:left w:val="single" w:color="auto" w:sz="4" w:space="0"/>
            </w:tcBorders>
            <w:shd w:val="clear" w:color="auto" w:fill="FFFFFF"/>
            <w:vAlign w:val="bottom"/>
          </w:tcPr>
          <w:p w14:paraId="381DD885">
            <w:pPr>
              <w:spacing w:line="600" w:lineRule="auto"/>
              <w:rPr>
                <w:sz w:val="20"/>
                <w:szCs w:val="20"/>
              </w:rPr>
            </w:pPr>
            <w:r>
              <w:rPr>
                <w:rStyle w:val="170"/>
                <w:color w:val="auto"/>
                <w:sz w:val="20"/>
                <w:szCs w:val="20"/>
              </w:rPr>
              <w:t>Взрывопожароопасные</w:t>
            </w:r>
          </w:p>
        </w:tc>
        <w:tc>
          <w:tcPr>
            <w:tcW w:w="977" w:type="dxa"/>
            <w:tcBorders>
              <w:top w:val="single" w:color="auto" w:sz="4" w:space="0"/>
              <w:left w:val="single" w:color="auto" w:sz="4" w:space="0"/>
            </w:tcBorders>
            <w:shd w:val="clear" w:color="auto" w:fill="FFFFFF"/>
            <w:vAlign w:val="bottom"/>
          </w:tcPr>
          <w:p w14:paraId="7BD8ED02">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303F2258">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6B61E120">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18F3F5FF">
            <w:pPr>
              <w:spacing w:line="600" w:lineRule="auto"/>
              <w:jc w:val="center"/>
              <w:rPr>
                <w:rStyle w:val="172"/>
                <w:sz w:val="20"/>
                <w:szCs w:val="20"/>
              </w:rPr>
            </w:pPr>
            <w:r>
              <w:rPr>
                <w:rStyle w:val="172"/>
                <w:sz w:val="20"/>
                <w:szCs w:val="20"/>
              </w:rPr>
              <w:t>0</w:t>
            </w:r>
          </w:p>
        </w:tc>
        <w:tc>
          <w:tcPr>
            <w:tcW w:w="993" w:type="dxa"/>
            <w:tcBorders>
              <w:top w:val="single" w:color="auto" w:sz="4" w:space="0"/>
              <w:left w:val="single" w:color="auto" w:sz="4" w:space="0"/>
            </w:tcBorders>
            <w:shd w:val="clear" w:color="auto" w:fill="FFFFFF"/>
            <w:vAlign w:val="bottom"/>
          </w:tcPr>
          <w:p w14:paraId="651E5BF2">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4828E2BD">
            <w:pPr>
              <w:spacing w:line="600" w:lineRule="auto"/>
              <w:jc w:val="center"/>
              <w:rPr>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027AAB27">
            <w:pPr>
              <w:spacing w:line="600" w:lineRule="auto"/>
              <w:jc w:val="center"/>
              <w:rPr>
                <w:sz w:val="20"/>
                <w:szCs w:val="20"/>
              </w:rPr>
            </w:pPr>
            <w:r>
              <w:rPr>
                <w:rStyle w:val="172"/>
                <w:sz w:val="20"/>
                <w:szCs w:val="20"/>
              </w:rPr>
              <w:t>0</w:t>
            </w:r>
          </w:p>
        </w:tc>
        <w:tc>
          <w:tcPr>
            <w:tcW w:w="855" w:type="dxa"/>
            <w:tcBorders>
              <w:top w:val="single" w:color="auto" w:sz="4" w:space="0"/>
              <w:left w:val="single" w:color="auto" w:sz="4" w:space="0"/>
              <w:right w:val="single" w:color="auto" w:sz="4" w:space="0"/>
            </w:tcBorders>
            <w:shd w:val="clear" w:color="auto" w:fill="FFFFFF"/>
            <w:vAlign w:val="bottom"/>
          </w:tcPr>
          <w:p w14:paraId="27EDAEE4">
            <w:pPr>
              <w:spacing w:line="600" w:lineRule="auto"/>
              <w:jc w:val="center"/>
              <w:rPr>
                <w:sz w:val="20"/>
                <w:szCs w:val="20"/>
              </w:rPr>
            </w:pPr>
            <w:r>
              <w:rPr>
                <w:rStyle w:val="172"/>
                <w:sz w:val="20"/>
                <w:szCs w:val="20"/>
              </w:rPr>
              <w:t>0</w:t>
            </w:r>
          </w:p>
        </w:tc>
      </w:tr>
      <w:tr w14:paraId="416919BB">
        <w:tblPrEx>
          <w:tblCellMar>
            <w:top w:w="0" w:type="dxa"/>
            <w:left w:w="10" w:type="dxa"/>
            <w:bottom w:w="0" w:type="dxa"/>
            <w:right w:w="10" w:type="dxa"/>
          </w:tblCellMar>
        </w:tblPrEx>
        <w:trPr>
          <w:trHeight w:val="370" w:hRule="exact"/>
        </w:trPr>
        <w:tc>
          <w:tcPr>
            <w:tcW w:w="2294" w:type="dxa"/>
            <w:tcBorders>
              <w:top w:val="single" w:color="auto" w:sz="4" w:space="0"/>
              <w:left w:val="single" w:color="auto" w:sz="4" w:space="0"/>
            </w:tcBorders>
            <w:shd w:val="clear" w:color="auto" w:fill="FFFFFF"/>
            <w:vAlign w:val="center"/>
          </w:tcPr>
          <w:p w14:paraId="5AB14CF3">
            <w:pPr>
              <w:spacing w:line="600" w:lineRule="auto"/>
              <w:rPr>
                <w:sz w:val="20"/>
                <w:szCs w:val="20"/>
              </w:rPr>
            </w:pPr>
            <w:r>
              <w:rPr>
                <w:rStyle w:val="170"/>
                <w:color w:val="auto"/>
                <w:sz w:val="20"/>
                <w:szCs w:val="20"/>
              </w:rPr>
              <w:t>Газопроводы, тыс. км</w:t>
            </w:r>
          </w:p>
        </w:tc>
        <w:tc>
          <w:tcPr>
            <w:tcW w:w="977" w:type="dxa"/>
            <w:tcBorders>
              <w:top w:val="single" w:color="auto" w:sz="4" w:space="0"/>
              <w:left w:val="single" w:color="auto" w:sz="4" w:space="0"/>
            </w:tcBorders>
            <w:shd w:val="clear" w:color="auto" w:fill="FFFFFF"/>
            <w:vAlign w:val="bottom"/>
          </w:tcPr>
          <w:p w14:paraId="5C378E72">
            <w:pPr>
              <w:spacing w:line="600" w:lineRule="auto"/>
              <w:jc w:val="center"/>
              <w:rPr>
                <w:sz w:val="20"/>
                <w:szCs w:val="20"/>
                <w:lang w:val="ru-RU"/>
              </w:rPr>
            </w:pPr>
            <w:r>
              <w:rPr>
                <w:lang w:val="ru-RU"/>
              </w:rPr>
              <w:t>0</w:t>
            </w:r>
          </w:p>
        </w:tc>
        <w:tc>
          <w:tcPr>
            <w:tcW w:w="992" w:type="dxa"/>
            <w:tcBorders>
              <w:top w:val="single" w:color="auto" w:sz="4" w:space="0"/>
              <w:left w:val="single" w:color="auto" w:sz="4" w:space="0"/>
            </w:tcBorders>
            <w:shd w:val="clear" w:color="auto" w:fill="FFFFFF"/>
            <w:vAlign w:val="bottom"/>
          </w:tcPr>
          <w:p w14:paraId="6F959E79">
            <w:pPr>
              <w:spacing w:line="600" w:lineRule="auto"/>
              <w:jc w:val="center"/>
              <w:rPr>
                <w:sz w:val="20"/>
                <w:szCs w:val="20"/>
                <w:lang w:val="ru-RU"/>
              </w:rPr>
            </w:pPr>
            <w:r>
              <w:rPr>
                <w:lang w:val="ru-RU"/>
              </w:rPr>
              <w:t>0</w:t>
            </w:r>
          </w:p>
        </w:tc>
        <w:tc>
          <w:tcPr>
            <w:tcW w:w="992" w:type="dxa"/>
            <w:tcBorders>
              <w:top w:val="single" w:color="auto" w:sz="4" w:space="0"/>
              <w:left w:val="single" w:color="auto" w:sz="4" w:space="0"/>
            </w:tcBorders>
            <w:shd w:val="clear" w:color="auto" w:fill="FFFFFF"/>
            <w:vAlign w:val="bottom"/>
          </w:tcPr>
          <w:p w14:paraId="378BE780">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3869C430">
            <w:pPr>
              <w:spacing w:line="600" w:lineRule="auto"/>
              <w:jc w:val="center"/>
              <w:rPr>
                <w:rStyle w:val="172"/>
                <w:sz w:val="20"/>
                <w:szCs w:val="20"/>
              </w:rPr>
            </w:pPr>
            <w:r>
              <w:rPr>
                <w:rStyle w:val="172"/>
                <w:sz w:val="20"/>
                <w:szCs w:val="20"/>
              </w:rPr>
              <w:t>0</w:t>
            </w:r>
          </w:p>
        </w:tc>
        <w:tc>
          <w:tcPr>
            <w:tcW w:w="993" w:type="dxa"/>
            <w:tcBorders>
              <w:top w:val="single" w:color="auto" w:sz="4" w:space="0"/>
              <w:left w:val="single" w:color="auto" w:sz="4" w:space="0"/>
            </w:tcBorders>
            <w:shd w:val="clear" w:color="auto" w:fill="FFFFFF"/>
            <w:vAlign w:val="bottom"/>
          </w:tcPr>
          <w:p w14:paraId="510461F8">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44AA7F58">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09B26CBC">
            <w:pPr>
              <w:spacing w:line="600" w:lineRule="auto"/>
              <w:jc w:val="center"/>
              <w:rPr>
                <w:rStyle w:val="172"/>
                <w:sz w:val="20"/>
                <w:szCs w:val="20"/>
              </w:rPr>
            </w:pPr>
            <w:r>
              <w:rPr>
                <w:rStyle w:val="172"/>
                <w:sz w:val="20"/>
                <w:szCs w:val="20"/>
              </w:rPr>
              <w:t>0</w:t>
            </w:r>
          </w:p>
        </w:tc>
        <w:tc>
          <w:tcPr>
            <w:tcW w:w="855" w:type="dxa"/>
            <w:tcBorders>
              <w:top w:val="single" w:color="auto" w:sz="4" w:space="0"/>
              <w:left w:val="single" w:color="auto" w:sz="4" w:space="0"/>
              <w:right w:val="single" w:color="auto" w:sz="4" w:space="0"/>
            </w:tcBorders>
            <w:shd w:val="clear" w:color="auto" w:fill="FFFFFF"/>
            <w:vAlign w:val="bottom"/>
          </w:tcPr>
          <w:p w14:paraId="21597DB2">
            <w:pPr>
              <w:spacing w:line="600" w:lineRule="auto"/>
              <w:jc w:val="center"/>
              <w:rPr>
                <w:rStyle w:val="172"/>
                <w:sz w:val="20"/>
                <w:szCs w:val="20"/>
              </w:rPr>
            </w:pPr>
            <w:r>
              <w:rPr>
                <w:rStyle w:val="172"/>
                <w:sz w:val="20"/>
                <w:szCs w:val="20"/>
              </w:rPr>
              <w:t>0</w:t>
            </w:r>
          </w:p>
        </w:tc>
      </w:tr>
      <w:tr w14:paraId="5389B320">
        <w:tblPrEx>
          <w:tblCellMar>
            <w:top w:w="0" w:type="dxa"/>
            <w:left w:w="10" w:type="dxa"/>
            <w:bottom w:w="0" w:type="dxa"/>
            <w:right w:w="10" w:type="dxa"/>
          </w:tblCellMar>
        </w:tblPrEx>
        <w:trPr>
          <w:trHeight w:val="318" w:hRule="exact"/>
        </w:trPr>
        <w:tc>
          <w:tcPr>
            <w:tcW w:w="2294" w:type="dxa"/>
            <w:tcBorders>
              <w:top w:val="single" w:color="auto" w:sz="4" w:space="0"/>
              <w:left w:val="single" w:color="auto" w:sz="4" w:space="0"/>
            </w:tcBorders>
            <w:shd w:val="clear" w:color="auto" w:fill="FFFFFF"/>
            <w:vAlign w:val="center"/>
          </w:tcPr>
          <w:p w14:paraId="12520A40">
            <w:pPr>
              <w:spacing w:line="600" w:lineRule="auto"/>
              <w:rPr>
                <w:sz w:val="20"/>
                <w:szCs w:val="20"/>
              </w:rPr>
            </w:pPr>
            <w:r>
              <w:rPr>
                <w:rStyle w:val="170"/>
                <w:color w:val="auto"/>
                <w:sz w:val="20"/>
                <w:szCs w:val="20"/>
              </w:rPr>
              <w:t>Нефтепроводы, тыс. км</w:t>
            </w:r>
          </w:p>
        </w:tc>
        <w:tc>
          <w:tcPr>
            <w:tcW w:w="977" w:type="dxa"/>
            <w:tcBorders>
              <w:top w:val="single" w:color="auto" w:sz="4" w:space="0"/>
              <w:left w:val="single" w:color="auto" w:sz="4" w:space="0"/>
            </w:tcBorders>
            <w:shd w:val="clear" w:color="auto" w:fill="FFFFFF"/>
            <w:vAlign w:val="bottom"/>
          </w:tcPr>
          <w:p w14:paraId="1DE38CB0">
            <w:pPr>
              <w:spacing w:line="600" w:lineRule="auto"/>
              <w:jc w:val="center"/>
              <w:rPr>
                <w:sz w:val="20"/>
                <w:szCs w:val="20"/>
              </w:rPr>
            </w:pPr>
            <w:r>
              <w:t>0</w:t>
            </w:r>
          </w:p>
        </w:tc>
        <w:tc>
          <w:tcPr>
            <w:tcW w:w="992" w:type="dxa"/>
            <w:tcBorders>
              <w:top w:val="single" w:color="auto" w:sz="4" w:space="0"/>
              <w:left w:val="single" w:color="auto" w:sz="4" w:space="0"/>
            </w:tcBorders>
            <w:shd w:val="clear" w:color="auto" w:fill="FFFFFF"/>
            <w:vAlign w:val="bottom"/>
          </w:tcPr>
          <w:p w14:paraId="5560969F">
            <w:pPr>
              <w:spacing w:line="600" w:lineRule="auto"/>
              <w:jc w:val="center"/>
              <w:rPr>
                <w:sz w:val="20"/>
                <w:szCs w:val="20"/>
              </w:rPr>
            </w:pPr>
            <w:r>
              <w:t>0</w:t>
            </w:r>
          </w:p>
        </w:tc>
        <w:tc>
          <w:tcPr>
            <w:tcW w:w="992" w:type="dxa"/>
            <w:tcBorders>
              <w:top w:val="single" w:color="auto" w:sz="4" w:space="0"/>
              <w:left w:val="single" w:color="auto" w:sz="4" w:space="0"/>
            </w:tcBorders>
            <w:shd w:val="clear" w:color="auto" w:fill="FFFFFF"/>
            <w:vAlign w:val="bottom"/>
          </w:tcPr>
          <w:p w14:paraId="3DB6799B">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06FEB9C6">
            <w:pPr>
              <w:spacing w:line="600" w:lineRule="auto"/>
              <w:jc w:val="center"/>
              <w:rPr>
                <w:rStyle w:val="172"/>
                <w:sz w:val="20"/>
                <w:szCs w:val="20"/>
              </w:rPr>
            </w:pPr>
            <w:r>
              <w:rPr>
                <w:rStyle w:val="172"/>
                <w:sz w:val="20"/>
                <w:szCs w:val="20"/>
              </w:rPr>
              <w:t>0</w:t>
            </w:r>
          </w:p>
        </w:tc>
        <w:tc>
          <w:tcPr>
            <w:tcW w:w="993" w:type="dxa"/>
            <w:tcBorders>
              <w:top w:val="single" w:color="auto" w:sz="4" w:space="0"/>
              <w:left w:val="single" w:color="auto" w:sz="4" w:space="0"/>
            </w:tcBorders>
            <w:shd w:val="clear" w:color="auto" w:fill="FFFFFF"/>
            <w:vAlign w:val="bottom"/>
          </w:tcPr>
          <w:p w14:paraId="48F6D405">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25E8BB79">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bottom"/>
          </w:tcPr>
          <w:p w14:paraId="64BE7C38">
            <w:pPr>
              <w:spacing w:line="600" w:lineRule="auto"/>
              <w:jc w:val="center"/>
              <w:rPr>
                <w:rStyle w:val="172"/>
                <w:sz w:val="20"/>
                <w:szCs w:val="20"/>
              </w:rPr>
            </w:pPr>
            <w:r>
              <w:rPr>
                <w:rStyle w:val="172"/>
                <w:sz w:val="20"/>
                <w:szCs w:val="20"/>
              </w:rPr>
              <w:t>0</w:t>
            </w:r>
          </w:p>
        </w:tc>
        <w:tc>
          <w:tcPr>
            <w:tcW w:w="855" w:type="dxa"/>
            <w:tcBorders>
              <w:top w:val="single" w:color="auto" w:sz="4" w:space="0"/>
              <w:left w:val="single" w:color="auto" w:sz="4" w:space="0"/>
              <w:right w:val="single" w:color="auto" w:sz="4" w:space="0"/>
            </w:tcBorders>
            <w:shd w:val="clear" w:color="auto" w:fill="FFFFFF"/>
            <w:vAlign w:val="bottom"/>
          </w:tcPr>
          <w:p w14:paraId="2762CF43">
            <w:pPr>
              <w:spacing w:line="600" w:lineRule="auto"/>
              <w:jc w:val="center"/>
              <w:rPr>
                <w:rStyle w:val="172"/>
                <w:sz w:val="20"/>
                <w:szCs w:val="20"/>
              </w:rPr>
            </w:pPr>
            <w:r>
              <w:rPr>
                <w:rStyle w:val="172"/>
                <w:sz w:val="20"/>
                <w:szCs w:val="20"/>
              </w:rPr>
              <w:t>0</w:t>
            </w:r>
          </w:p>
        </w:tc>
      </w:tr>
      <w:tr w14:paraId="429ACBF9">
        <w:tblPrEx>
          <w:tblCellMar>
            <w:top w:w="0" w:type="dxa"/>
            <w:left w:w="10" w:type="dxa"/>
            <w:bottom w:w="0" w:type="dxa"/>
            <w:right w:w="10" w:type="dxa"/>
          </w:tblCellMar>
        </w:tblPrEx>
        <w:trPr>
          <w:trHeight w:val="466" w:hRule="exact"/>
        </w:trPr>
        <w:tc>
          <w:tcPr>
            <w:tcW w:w="2294" w:type="dxa"/>
            <w:tcBorders>
              <w:top w:val="single" w:color="auto" w:sz="4" w:space="0"/>
              <w:left w:val="single" w:color="auto" w:sz="4" w:space="0"/>
            </w:tcBorders>
            <w:shd w:val="clear" w:color="auto" w:fill="FFFFFF"/>
            <w:vAlign w:val="center"/>
          </w:tcPr>
          <w:p w14:paraId="4D691663">
            <w:pPr>
              <w:rPr>
                <w:sz w:val="20"/>
                <w:szCs w:val="20"/>
              </w:rPr>
            </w:pPr>
            <w:r>
              <w:rPr>
                <w:rStyle w:val="170"/>
                <w:color w:val="auto"/>
                <w:sz w:val="20"/>
                <w:szCs w:val="20"/>
              </w:rPr>
              <w:t>Нефтепродуктопроводы тыс. км</w:t>
            </w:r>
          </w:p>
        </w:tc>
        <w:tc>
          <w:tcPr>
            <w:tcW w:w="977" w:type="dxa"/>
            <w:tcBorders>
              <w:top w:val="single" w:color="auto" w:sz="4" w:space="0"/>
              <w:left w:val="single" w:color="auto" w:sz="4" w:space="0"/>
            </w:tcBorders>
            <w:shd w:val="clear" w:color="auto" w:fill="FFFFFF"/>
            <w:vAlign w:val="center"/>
          </w:tcPr>
          <w:p w14:paraId="3ABA3C16">
            <w:pPr>
              <w:spacing w:line="600" w:lineRule="auto"/>
              <w:jc w:val="center"/>
              <w:rPr>
                <w:sz w:val="20"/>
                <w:szCs w:val="20"/>
              </w:rPr>
            </w:pPr>
            <w:r>
              <w:t>0</w:t>
            </w:r>
          </w:p>
        </w:tc>
        <w:tc>
          <w:tcPr>
            <w:tcW w:w="992" w:type="dxa"/>
            <w:tcBorders>
              <w:top w:val="single" w:color="auto" w:sz="4" w:space="0"/>
              <w:left w:val="single" w:color="auto" w:sz="4" w:space="0"/>
            </w:tcBorders>
            <w:shd w:val="clear" w:color="auto" w:fill="FFFFFF"/>
            <w:vAlign w:val="center"/>
          </w:tcPr>
          <w:p w14:paraId="1D0EFE35">
            <w:pPr>
              <w:spacing w:line="600" w:lineRule="auto"/>
              <w:jc w:val="center"/>
              <w:rPr>
                <w:sz w:val="20"/>
                <w:szCs w:val="20"/>
              </w:rPr>
            </w:pPr>
            <w:r>
              <w:t>0</w:t>
            </w:r>
          </w:p>
        </w:tc>
        <w:tc>
          <w:tcPr>
            <w:tcW w:w="992" w:type="dxa"/>
            <w:tcBorders>
              <w:top w:val="single" w:color="auto" w:sz="4" w:space="0"/>
              <w:left w:val="single" w:color="auto" w:sz="4" w:space="0"/>
            </w:tcBorders>
            <w:shd w:val="clear" w:color="auto" w:fill="FFFFFF"/>
            <w:vAlign w:val="center"/>
          </w:tcPr>
          <w:p w14:paraId="2CA10EF0">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center"/>
          </w:tcPr>
          <w:p w14:paraId="1B077127">
            <w:pPr>
              <w:spacing w:line="600" w:lineRule="auto"/>
              <w:jc w:val="center"/>
              <w:rPr>
                <w:rStyle w:val="172"/>
                <w:sz w:val="20"/>
                <w:szCs w:val="20"/>
              </w:rPr>
            </w:pPr>
            <w:r>
              <w:rPr>
                <w:rStyle w:val="172"/>
                <w:sz w:val="20"/>
                <w:szCs w:val="20"/>
              </w:rPr>
              <w:t>0</w:t>
            </w:r>
          </w:p>
        </w:tc>
        <w:tc>
          <w:tcPr>
            <w:tcW w:w="993" w:type="dxa"/>
            <w:tcBorders>
              <w:top w:val="single" w:color="auto" w:sz="4" w:space="0"/>
              <w:left w:val="single" w:color="auto" w:sz="4" w:space="0"/>
            </w:tcBorders>
            <w:shd w:val="clear" w:color="auto" w:fill="FFFFFF"/>
            <w:vAlign w:val="center"/>
          </w:tcPr>
          <w:p w14:paraId="4E23E587">
            <w:pPr>
              <w:spacing w:line="276"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center"/>
          </w:tcPr>
          <w:p w14:paraId="72DDC9A6">
            <w:pPr>
              <w:spacing w:line="276"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center"/>
          </w:tcPr>
          <w:p w14:paraId="057A5DC8">
            <w:pPr>
              <w:spacing w:line="276" w:lineRule="auto"/>
              <w:jc w:val="center"/>
              <w:rPr>
                <w:rStyle w:val="172"/>
                <w:sz w:val="20"/>
                <w:szCs w:val="20"/>
              </w:rPr>
            </w:pPr>
            <w:r>
              <w:rPr>
                <w:rStyle w:val="172"/>
                <w:sz w:val="20"/>
                <w:szCs w:val="20"/>
              </w:rPr>
              <w:t>0</w:t>
            </w:r>
          </w:p>
        </w:tc>
        <w:tc>
          <w:tcPr>
            <w:tcW w:w="855" w:type="dxa"/>
            <w:tcBorders>
              <w:top w:val="single" w:color="auto" w:sz="4" w:space="0"/>
              <w:left w:val="single" w:color="auto" w:sz="4" w:space="0"/>
              <w:right w:val="single" w:color="auto" w:sz="4" w:space="0"/>
            </w:tcBorders>
            <w:shd w:val="clear" w:color="auto" w:fill="FFFFFF"/>
            <w:vAlign w:val="center"/>
          </w:tcPr>
          <w:p w14:paraId="48AC776A">
            <w:pPr>
              <w:spacing w:line="276" w:lineRule="auto"/>
              <w:jc w:val="center"/>
              <w:rPr>
                <w:rStyle w:val="172"/>
                <w:sz w:val="20"/>
                <w:szCs w:val="20"/>
              </w:rPr>
            </w:pPr>
            <w:r>
              <w:rPr>
                <w:rStyle w:val="172"/>
                <w:sz w:val="20"/>
                <w:szCs w:val="20"/>
              </w:rPr>
              <w:t>0</w:t>
            </w:r>
          </w:p>
        </w:tc>
      </w:tr>
      <w:tr w14:paraId="1E9BDEBF">
        <w:tblPrEx>
          <w:tblCellMar>
            <w:top w:w="0" w:type="dxa"/>
            <w:left w:w="10" w:type="dxa"/>
            <w:bottom w:w="0" w:type="dxa"/>
            <w:right w:w="10" w:type="dxa"/>
          </w:tblCellMar>
        </w:tblPrEx>
        <w:trPr>
          <w:trHeight w:val="286" w:hRule="exact"/>
        </w:trPr>
        <w:tc>
          <w:tcPr>
            <w:tcW w:w="2294" w:type="dxa"/>
            <w:tcBorders>
              <w:top w:val="single" w:color="auto" w:sz="4" w:space="0"/>
              <w:left w:val="single" w:color="auto" w:sz="4" w:space="0"/>
            </w:tcBorders>
            <w:shd w:val="clear" w:color="auto" w:fill="FFFFFF"/>
            <w:vAlign w:val="bottom"/>
          </w:tcPr>
          <w:p w14:paraId="48AFB27B">
            <w:pPr>
              <w:spacing w:line="600" w:lineRule="auto"/>
              <w:rPr>
                <w:rStyle w:val="170"/>
                <w:color w:val="auto"/>
                <w:sz w:val="20"/>
                <w:szCs w:val="20"/>
                <w:lang w:eastAsia="en-US" w:bidi="ar-SA"/>
              </w:rPr>
            </w:pPr>
            <w:r>
              <w:rPr>
                <w:rStyle w:val="170"/>
                <w:color w:val="auto"/>
                <w:sz w:val="20"/>
                <w:szCs w:val="20"/>
                <w:lang w:eastAsia="en-US" w:bidi="ar-SA"/>
              </w:rPr>
              <w:t xml:space="preserve">Трубопроводы, </w:t>
            </w:r>
            <w:r>
              <w:rPr>
                <w:rStyle w:val="170"/>
                <w:color w:val="auto"/>
                <w:sz w:val="20"/>
                <w:szCs w:val="20"/>
              </w:rPr>
              <w:t xml:space="preserve"> тыс.к</w:t>
            </w:r>
            <w:r>
              <w:rPr>
                <w:rStyle w:val="170"/>
                <w:color w:val="auto"/>
                <w:sz w:val="20"/>
                <w:szCs w:val="20"/>
                <w:lang w:eastAsia="en-US" w:bidi="ar-SA"/>
              </w:rPr>
              <w:t>м</w:t>
            </w:r>
          </w:p>
        </w:tc>
        <w:tc>
          <w:tcPr>
            <w:tcW w:w="977" w:type="dxa"/>
            <w:tcBorders>
              <w:top w:val="single" w:color="auto" w:sz="4" w:space="0"/>
              <w:left w:val="single" w:color="auto" w:sz="4" w:space="0"/>
            </w:tcBorders>
            <w:shd w:val="clear" w:color="auto" w:fill="FFFFFF"/>
            <w:vAlign w:val="center"/>
          </w:tcPr>
          <w:p w14:paraId="170F30B5">
            <w:pPr>
              <w:spacing w:line="600" w:lineRule="auto"/>
              <w:jc w:val="center"/>
              <w:rPr>
                <w:lang w:val="ru-RU"/>
              </w:rPr>
            </w:pPr>
            <w:r>
              <w:rPr>
                <w:lang w:val="ru-RU"/>
              </w:rPr>
              <w:t>0</w:t>
            </w:r>
          </w:p>
        </w:tc>
        <w:tc>
          <w:tcPr>
            <w:tcW w:w="992" w:type="dxa"/>
            <w:tcBorders>
              <w:top w:val="single" w:color="auto" w:sz="4" w:space="0"/>
              <w:left w:val="single" w:color="auto" w:sz="4" w:space="0"/>
            </w:tcBorders>
            <w:shd w:val="clear" w:color="auto" w:fill="FFFFFF"/>
            <w:vAlign w:val="center"/>
          </w:tcPr>
          <w:p w14:paraId="195EE419">
            <w:pPr>
              <w:spacing w:line="600" w:lineRule="auto"/>
              <w:jc w:val="center"/>
              <w:rPr>
                <w:lang w:val="ru-RU"/>
              </w:rPr>
            </w:pPr>
            <w:r>
              <w:rPr>
                <w:lang w:val="ru-RU"/>
              </w:rPr>
              <w:t>0</w:t>
            </w:r>
          </w:p>
        </w:tc>
        <w:tc>
          <w:tcPr>
            <w:tcW w:w="992" w:type="dxa"/>
            <w:tcBorders>
              <w:top w:val="single" w:color="auto" w:sz="4" w:space="0"/>
              <w:left w:val="single" w:color="auto" w:sz="4" w:space="0"/>
            </w:tcBorders>
            <w:shd w:val="clear" w:color="auto" w:fill="FFFFFF"/>
            <w:vAlign w:val="center"/>
          </w:tcPr>
          <w:p w14:paraId="7B604EC9">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center"/>
          </w:tcPr>
          <w:p w14:paraId="4ED461D1">
            <w:pPr>
              <w:spacing w:line="600" w:lineRule="auto"/>
              <w:jc w:val="center"/>
              <w:rPr>
                <w:rStyle w:val="172"/>
                <w:sz w:val="20"/>
                <w:szCs w:val="20"/>
              </w:rPr>
            </w:pPr>
            <w:r>
              <w:rPr>
                <w:rStyle w:val="172"/>
                <w:sz w:val="20"/>
                <w:szCs w:val="20"/>
              </w:rPr>
              <w:t>0</w:t>
            </w:r>
          </w:p>
        </w:tc>
        <w:tc>
          <w:tcPr>
            <w:tcW w:w="993" w:type="dxa"/>
            <w:tcBorders>
              <w:top w:val="single" w:color="auto" w:sz="4" w:space="0"/>
              <w:left w:val="single" w:color="auto" w:sz="4" w:space="0"/>
            </w:tcBorders>
            <w:shd w:val="clear" w:color="auto" w:fill="FFFFFF"/>
            <w:vAlign w:val="center"/>
          </w:tcPr>
          <w:p w14:paraId="26D801D2">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center"/>
          </w:tcPr>
          <w:p w14:paraId="09B5597C">
            <w:pPr>
              <w:spacing w:line="600" w:lineRule="auto"/>
              <w:jc w:val="center"/>
              <w:rPr>
                <w:rStyle w:val="172"/>
                <w:sz w:val="20"/>
                <w:szCs w:val="20"/>
              </w:rPr>
            </w:pPr>
            <w:r>
              <w:rPr>
                <w:rStyle w:val="172"/>
                <w:sz w:val="20"/>
                <w:szCs w:val="20"/>
              </w:rPr>
              <w:t>0</w:t>
            </w:r>
          </w:p>
        </w:tc>
        <w:tc>
          <w:tcPr>
            <w:tcW w:w="992" w:type="dxa"/>
            <w:tcBorders>
              <w:top w:val="single" w:color="auto" w:sz="4" w:space="0"/>
              <w:left w:val="single" w:color="auto" w:sz="4" w:space="0"/>
            </w:tcBorders>
            <w:shd w:val="clear" w:color="auto" w:fill="FFFFFF"/>
            <w:vAlign w:val="center"/>
          </w:tcPr>
          <w:p w14:paraId="5CE49345">
            <w:pPr>
              <w:spacing w:line="600" w:lineRule="auto"/>
              <w:jc w:val="center"/>
              <w:rPr>
                <w:rStyle w:val="172"/>
                <w:sz w:val="20"/>
                <w:szCs w:val="20"/>
              </w:rPr>
            </w:pPr>
            <w:r>
              <w:rPr>
                <w:rStyle w:val="172"/>
                <w:sz w:val="20"/>
                <w:szCs w:val="20"/>
              </w:rPr>
              <w:t>0</w:t>
            </w:r>
          </w:p>
        </w:tc>
        <w:tc>
          <w:tcPr>
            <w:tcW w:w="855" w:type="dxa"/>
            <w:tcBorders>
              <w:top w:val="single" w:color="auto" w:sz="4" w:space="0"/>
              <w:left w:val="single" w:color="auto" w:sz="4" w:space="0"/>
              <w:right w:val="single" w:color="auto" w:sz="4" w:space="0"/>
            </w:tcBorders>
            <w:shd w:val="clear" w:color="auto" w:fill="FFFFFF"/>
            <w:vAlign w:val="center"/>
          </w:tcPr>
          <w:p w14:paraId="52E95080">
            <w:pPr>
              <w:spacing w:line="600" w:lineRule="auto"/>
              <w:jc w:val="center"/>
              <w:rPr>
                <w:rStyle w:val="172"/>
                <w:sz w:val="20"/>
                <w:szCs w:val="20"/>
              </w:rPr>
            </w:pPr>
            <w:r>
              <w:rPr>
                <w:rStyle w:val="172"/>
                <w:sz w:val="20"/>
                <w:szCs w:val="20"/>
              </w:rPr>
              <w:t>0</w:t>
            </w:r>
          </w:p>
        </w:tc>
      </w:tr>
      <w:tr w14:paraId="0E4F0BD4">
        <w:tblPrEx>
          <w:tblCellMar>
            <w:top w:w="0" w:type="dxa"/>
            <w:left w:w="10" w:type="dxa"/>
            <w:bottom w:w="0" w:type="dxa"/>
            <w:right w:w="10" w:type="dxa"/>
          </w:tblCellMar>
        </w:tblPrEx>
        <w:trPr>
          <w:trHeight w:val="475" w:hRule="exact"/>
        </w:trPr>
        <w:tc>
          <w:tcPr>
            <w:tcW w:w="2294" w:type="dxa"/>
            <w:tcBorders>
              <w:top w:val="single" w:color="auto" w:sz="4" w:space="0"/>
              <w:left w:val="single" w:color="auto" w:sz="4" w:space="0"/>
            </w:tcBorders>
            <w:shd w:val="clear" w:color="auto" w:fill="FFFFFF"/>
            <w:vAlign w:val="bottom"/>
          </w:tcPr>
          <w:p w14:paraId="07D6F3F6">
            <w:pPr>
              <w:rPr>
                <w:rStyle w:val="170"/>
                <w:color w:val="auto"/>
                <w:sz w:val="20"/>
                <w:szCs w:val="20"/>
              </w:rPr>
            </w:pPr>
            <w:r>
              <w:rPr>
                <w:rStyle w:val="170"/>
                <w:color w:val="auto"/>
                <w:sz w:val="20"/>
                <w:szCs w:val="20"/>
              </w:rPr>
              <w:t>Гидротехнические сооружения</w:t>
            </w:r>
          </w:p>
        </w:tc>
        <w:tc>
          <w:tcPr>
            <w:tcW w:w="977" w:type="dxa"/>
            <w:tcBorders>
              <w:top w:val="single" w:color="auto" w:sz="4" w:space="0"/>
              <w:left w:val="single" w:color="auto" w:sz="4" w:space="0"/>
            </w:tcBorders>
            <w:shd w:val="clear" w:color="auto" w:fill="FFFFFF"/>
            <w:vAlign w:val="center"/>
          </w:tcPr>
          <w:p w14:paraId="4DBF7F8A">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tcBorders>
            <w:shd w:val="clear" w:color="auto" w:fill="FFFFFF"/>
            <w:vAlign w:val="center"/>
          </w:tcPr>
          <w:p w14:paraId="123716BF">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tcBorders>
            <w:shd w:val="clear" w:color="auto" w:fill="FFFFFF"/>
            <w:vAlign w:val="center"/>
          </w:tcPr>
          <w:p w14:paraId="5CEC5935">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tcBorders>
            <w:shd w:val="clear" w:color="auto" w:fill="FFFFFF"/>
            <w:vAlign w:val="center"/>
          </w:tcPr>
          <w:p w14:paraId="505367B7">
            <w:pPr>
              <w:spacing w:line="276" w:lineRule="auto"/>
              <w:jc w:val="center"/>
              <w:rPr>
                <w:rStyle w:val="170"/>
                <w:color w:val="auto"/>
                <w:sz w:val="20"/>
                <w:szCs w:val="20"/>
              </w:rPr>
            </w:pPr>
            <w:r>
              <w:rPr>
                <w:rStyle w:val="170"/>
                <w:color w:val="auto"/>
                <w:sz w:val="20"/>
                <w:szCs w:val="20"/>
              </w:rPr>
              <w:t>0</w:t>
            </w:r>
          </w:p>
        </w:tc>
        <w:tc>
          <w:tcPr>
            <w:tcW w:w="993" w:type="dxa"/>
            <w:tcBorders>
              <w:top w:val="single" w:color="auto" w:sz="4" w:space="0"/>
              <w:left w:val="single" w:color="auto" w:sz="4" w:space="0"/>
            </w:tcBorders>
            <w:shd w:val="clear" w:color="auto" w:fill="FFFFFF"/>
            <w:vAlign w:val="center"/>
          </w:tcPr>
          <w:p w14:paraId="24073FDD">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tcBorders>
            <w:shd w:val="clear" w:color="auto" w:fill="FFFFFF"/>
            <w:vAlign w:val="center"/>
          </w:tcPr>
          <w:p w14:paraId="77F2CA73">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tcBorders>
            <w:shd w:val="clear" w:color="auto" w:fill="FFFFFF"/>
            <w:vAlign w:val="center"/>
          </w:tcPr>
          <w:p w14:paraId="110C82A3">
            <w:pPr>
              <w:spacing w:line="276" w:lineRule="auto"/>
              <w:jc w:val="center"/>
              <w:rPr>
                <w:rStyle w:val="170"/>
                <w:color w:val="auto"/>
                <w:sz w:val="20"/>
                <w:szCs w:val="20"/>
              </w:rPr>
            </w:pPr>
            <w:r>
              <w:rPr>
                <w:rStyle w:val="170"/>
                <w:color w:val="auto"/>
                <w:sz w:val="20"/>
                <w:szCs w:val="20"/>
              </w:rPr>
              <w:t>0</w:t>
            </w:r>
          </w:p>
        </w:tc>
        <w:tc>
          <w:tcPr>
            <w:tcW w:w="855" w:type="dxa"/>
            <w:tcBorders>
              <w:top w:val="single" w:color="auto" w:sz="4" w:space="0"/>
              <w:left w:val="single" w:color="auto" w:sz="4" w:space="0"/>
              <w:right w:val="single" w:color="auto" w:sz="4" w:space="0"/>
            </w:tcBorders>
            <w:shd w:val="clear" w:color="auto" w:fill="FFFFFF"/>
            <w:vAlign w:val="center"/>
          </w:tcPr>
          <w:p w14:paraId="000E5745">
            <w:pPr>
              <w:spacing w:line="276" w:lineRule="auto"/>
              <w:jc w:val="center"/>
              <w:rPr>
                <w:rStyle w:val="170"/>
                <w:color w:val="auto"/>
                <w:sz w:val="20"/>
                <w:szCs w:val="20"/>
              </w:rPr>
            </w:pPr>
            <w:r>
              <w:rPr>
                <w:rStyle w:val="170"/>
                <w:color w:val="auto"/>
                <w:sz w:val="20"/>
                <w:szCs w:val="20"/>
              </w:rPr>
              <w:t>0</w:t>
            </w:r>
          </w:p>
        </w:tc>
      </w:tr>
      <w:tr w14:paraId="44700099">
        <w:tblPrEx>
          <w:tblCellMar>
            <w:top w:w="0" w:type="dxa"/>
            <w:left w:w="10" w:type="dxa"/>
            <w:bottom w:w="0" w:type="dxa"/>
            <w:right w:w="10" w:type="dxa"/>
          </w:tblCellMar>
        </w:tblPrEx>
        <w:trPr>
          <w:trHeight w:val="475" w:hRule="exact"/>
        </w:trPr>
        <w:tc>
          <w:tcPr>
            <w:tcW w:w="2294" w:type="dxa"/>
            <w:tcBorders>
              <w:top w:val="single" w:color="auto" w:sz="4" w:space="0"/>
              <w:left w:val="single" w:color="auto" w:sz="4" w:space="0"/>
              <w:bottom w:val="single" w:color="auto" w:sz="4" w:space="0"/>
            </w:tcBorders>
            <w:shd w:val="clear" w:color="auto" w:fill="FFFFFF"/>
            <w:vAlign w:val="center"/>
          </w:tcPr>
          <w:p w14:paraId="0E773440">
            <w:pPr>
              <w:rPr>
                <w:rStyle w:val="170"/>
                <w:color w:val="auto"/>
                <w:sz w:val="20"/>
                <w:szCs w:val="20"/>
              </w:rPr>
            </w:pPr>
            <w:r>
              <w:rPr>
                <w:rStyle w:val="170"/>
                <w:color w:val="auto"/>
                <w:sz w:val="20"/>
                <w:szCs w:val="20"/>
              </w:rPr>
              <w:t>Критически важные объекты</w:t>
            </w:r>
          </w:p>
        </w:tc>
        <w:tc>
          <w:tcPr>
            <w:tcW w:w="977" w:type="dxa"/>
            <w:tcBorders>
              <w:top w:val="single" w:color="auto" w:sz="4" w:space="0"/>
              <w:left w:val="single" w:color="auto" w:sz="4" w:space="0"/>
              <w:bottom w:val="single" w:color="auto" w:sz="4" w:space="0"/>
            </w:tcBorders>
            <w:shd w:val="clear" w:color="auto" w:fill="FFFFFF"/>
            <w:vAlign w:val="center"/>
          </w:tcPr>
          <w:p w14:paraId="3B1B621D">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bottom w:val="single" w:color="auto" w:sz="4" w:space="0"/>
            </w:tcBorders>
            <w:shd w:val="clear" w:color="auto" w:fill="FFFFFF"/>
            <w:vAlign w:val="center"/>
          </w:tcPr>
          <w:p w14:paraId="1AAFCA99">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bottom w:val="single" w:color="auto" w:sz="4" w:space="0"/>
            </w:tcBorders>
            <w:shd w:val="clear" w:color="auto" w:fill="FFFFFF"/>
            <w:vAlign w:val="center"/>
          </w:tcPr>
          <w:p w14:paraId="73DBA315">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bottom w:val="single" w:color="auto" w:sz="4" w:space="0"/>
            </w:tcBorders>
            <w:shd w:val="clear" w:color="auto" w:fill="FFFFFF"/>
            <w:vAlign w:val="center"/>
          </w:tcPr>
          <w:p w14:paraId="4E58802F">
            <w:pPr>
              <w:spacing w:line="276" w:lineRule="auto"/>
              <w:jc w:val="center"/>
              <w:rPr>
                <w:rStyle w:val="170"/>
                <w:color w:val="auto"/>
                <w:sz w:val="20"/>
                <w:szCs w:val="20"/>
              </w:rPr>
            </w:pPr>
            <w:r>
              <w:rPr>
                <w:rStyle w:val="170"/>
                <w:color w:val="auto"/>
                <w:sz w:val="20"/>
                <w:szCs w:val="20"/>
              </w:rPr>
              <w:t>0</w:t>
            </w:r>
          </w:p>
        </w:tc>
        <w:tc>
          <w:tcPr>
            <w:tcW w:w="993" w:type="dxa"/>
            <w:tcBorders>
              <w:top w:val="single" w:color="auto" w:sz="4" w:space="0"/>
              <w:left w:val="single" w:color="auto" w:sz="4" w:space="0"/>
              <w:bottom w:val="single" w:color="auto" w:sz="4" w:space="0"/>
            </w:tcBorders>
            <w:shd w:val="clear" w:color="auto" w:fill="FFFFFF"/>
            <w:vAlign w:val="center"/>
          </w:tcPr>
          <w:p w14:paraId="0A6C05A9">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bottom w:val="single" w:color="auto" w:sz="4" w:space="0"/>
            </w:tcBorders>
            <w:shd w:val="clear" w:color="auto" w:fill="FFFFFF"/>
            <w:vAlign w:val="center"/>
          </w:tcPr>
          <w:p w14:paraId="0C295C92">
            <w:pPr>
              <w:spacing w:line="276" w:lineRule="auto"/>
              <w:jc w:val="center"/>
              <w:rPr>
                <w:rStyle w:val="170"/>
                <w:color w:val="auto"/>
                <w:sz w:val="20"/>
                <w:szCs w:val="20"/>
              </w:rPr>
            </w:pPr>
            <w:r>
              <w:rPr>
                <w:rStyle w:val="170"/>
                <w:color w:val="auto"/>
                <w:sz w:val="20"/>
                <w:szCs w:val="20"/>
              </w:rPr>
              <w:t>0</w:t>
            </w:r>
          </w:p>
        </w:tc>
        <w:tc>
          <w:tcPr>
            <w:tcW w:w="992" w:type="dxa"/>
            <w:tcBorders>
              <w:top w:val="single" w:color="auto" w:sz="4" w:space="0"/>
              <w:left w:val="single" w:color="auto" w:sz="4" w:space="0"/>
              <w:bottom w:val="single" w:color="auto" w:sz="4" w:space="0"/>
            </w:tcBorders>
            <w:shd w:val="clear" w:color="auto" w:fill="FFFFFF"/>
            <w:vAlign w:val="center"/>
          </w:tcPr>
          <w:p w14:paraId="27944DD1">
            <w:pPr>
              <w:spacing w:line="276" w:lineRule="auto"/>
              <w:jc w:val="center"/>
              <w:rPr>
                <w:rStyle w:val="170"/>
                <w:color w:val="auto"/>
                <w:sz w:val="20"/>
                <w:szCs w:val="20"/>
              </w:rPr>
            </w:pPr>
            <w:r>
              <w:rPr>
                <w:rStyle w:val="170"/>
                <w:color w:val="auto"/>
                <w:sz w:val="20"/>
                <w:szCs w:val="20"/>
              </w:rPr>
              <w:t>0</w:t>
            </w:r>
          </w:p>
        </w:tc>
        <w:tc>
          <w:tcPr>
            <w:tcW w:w="855" w:type="dxa"/>
            <w:tcBorders>
              <w:top w:val="single" w:color="auto" w:sz="4" w:space="0"/>
              <w:left w:val="single" w:color="auto" w:sz="4" w:space="0"/>
              <w:bottom w:val="single" w:color="auto" w:sz="4" w:space="0"/>
              <w:right w:val="single" w:color="auto" w:sz="4" w:space="0"/>
            </w:tcBorders>
            <w:shd w:val="clear" w:color="auto" w:fill="FFFFFF"/>
            <w:vAlign w:val="center"/>
          </w:tcPr>
          <w:p w14:paraId="2F7333A1">
            <w:pPr>
              <w:spacing w:line="276" w:lineRule="auto"/>
              <w:jc w:val="center"/>
              <w:rPr>
                <w:rStyle w:val="170"/>
                <w:color w:val="auto"/>
                <w:sz w:val="20"/>
                <w:szCs w:val="20"/>
              </w:rPr>
            </w:pPr>
            <w:r>
              <w:rPr>
                <w:rStyle w:val="170"/>
                <w:color w:val="auto"/>
                <w:sz w:val="20"/>
                <w:szCs w:val="20"/>
              </w:rPr>
              <w:t>0</w:t>
            </w:r>
          </w:p>
        </w:tc>
      </w:tr>
    </w:tbl>
    <w:p w14:paraId="7941CF96">
      <w:pPr>
        <w:spacing w:line="360" w:lineRule="auto"/>
        <w:ind w:firstLine="567"/>
        <w:contextualSpacing/>
        <w:jc w:val="center"/>
        <w:rPr>
          <w:b/>
          <w:sz w:val="24"/>
          <w:szCs w:val="24"/>
          <w:lang w:val="ru-RU"/>
        </w:rPr>
      </w:pPr>
    </w:p>
    <w:p w14:paraId="22A7D8CA">
      <w:pPr>
        <w:spacing w:line="360" w:lineRule="auto"/>
        <w:ind w:firstLine="567"/>
        <w:contextualSpacing/>
        <w:jc w:val="center"/>
        <w:rPr>
          <w:b/>
          <w:color w:val="FF0000"/>
          <w:sz w:val="24"/>
          <w:szCs w:val="24"/>
          <w:u w:val="single"/>
          <w:lang w:val="ru-RU"/>
        </w:rPr>
      </w:pPr>
      <w:r>
        <w:rPr>
          <w:b/>
          <w:sz w:val="24"/>
          <w:szCs w:val="24"/>
          <w:lang w:val="ru-RU"/>
        </w:rPr>
        <w:t xml:space="preserve">Сведения о количестве погибших в субъектах Российской Федерации в 2023-2024 годах </w:t>
      </w:r>
    </w:p>
    <w:tbl>
      <w:tblPr>
        <w:tblStyle w:val="11"/>
        <w:tblW w:w="0" w:type="auto"/>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99"/>
        <w:gridCol w:w="2492"/>
        <w:gridCol w:w="2286"/>
        <w:gridCol w:w="2888"/>
      </w:tblGrid>
      <w:tr w14:paraId="194484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9" w:type="dxa"/>
            <w:vMerge w:val="restart"/>
          </w:tcPr>
          <w:p w14:paraId="39E5C224">
            <w:pPr>
              <w:tabs>
                <w:tab w:val="left" w:pos="1111"/>
                <w:tab w:val="left" w:pos="8728"/>
              </w:tabs>
              <w:jc w:val="center"/>
              <w:rPr>
                <w:b/>
                <w:bCs/>
                <w:sz w:val="20"/>
                <w:szCs w:val="20"/>
              </w:rPr>
            </w:pPr>
            <w:r>
              <w:rPr>
                <w:b/>
                <w:bCs/>
                <w:sz w:val="20"/>
                <w:szCs w:val="20"/>
              </w:rPr>
              <w:t>Субъект РФ</w:t>
            </w:r>
          </w:p>
        </w:tc>
        <w:tc>
          <w:tcPr>
            <w:tcW w:w="7666" w:type="dxa"/>
            <w:gridSpan w:val="3"/>
          </w:tcPr>
          <w:p w14:paraId="76185903">
            <w:pPr>
              <w:tabs>
                <w:tab w:val="left" w:pos="1111"/>
                <w:tab w:val="left" w:pos="8728"/>
              </w:tabs>
              <w:jc w:val="center"/>
              <w:rPr>
                <w:b/>
                <w:bCs/>
                <w:sz w:val="20"/>
                <w:szCs w:val="20"/>
              </w:rPr>
            </w:pPr>
            <w:r>
              <w:rPr>
                <w:b/>
                <w:bCs/>
                <w:sz w:val="20"/>
                <w:szCs w:val="20"/>
              </w:rPr>
              <w:t>Число погибших, чел.</w:t>
            </w:r>
          </w:p>
        </w:tc>
      </w:tr>
      <w:tr w14:paraId="5DFC6A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9" w:type="dxa"/>
            <w:vMerge w:val="continue"/>
          </w:tcPr>
          <w:p w14:paraId="36ECCDD6">
            <w:pPr>
              <w:tabs>
                <w:tab w:val="left" w:pos="1111"/>
                <w:tab w:val="left" w:pos="8728"/>
              </w:tabs>
              <w:jc w:val="center"/>
              <w:rPr>
                <w:b/>
                <w:bCs/>
                <w:sz w:val="20"/>
                <w:szCs w:val="20"/>
              </w:rPr>
            </w:pPr>
          </w:p>
        </w:tc>
        <w:tc>
          <w:tcPr>
            <w:tcW w:w="2492" w:type="dxa"/>
          </w:tcPr>
          <w:p w14:paraId="3A53AB15">
            <w:pPr>
              <w:tabs>
                <w:tab w:val="left" w:pos="1111"/>
                <w:tab w:val="left" w:pos="8728"/>
              </w:tabs>
              <w:jc w:val="center"/>
              <w:rPr>
                <w:b/>
                <w:bCs/>
                <w:sz w:val="20"/>
                <w:szCs w:val="20"/>
              </w:rPr>
            </w:pPr>
            <w:r>
              <w:rPr>
                <w:b/>
                <w:bCs/>
                <w:sz w:val="20"/>
                <w:szCs w:val="20"/>
              </w:rPr>
              <w:t>при пожарах</w:t>
            </w:r>
          </w:p>
        </w:tc>
        <w:tc>
          <w:tcPr>
            <w:tcW w:w="2286" w:type="dxa"/>
          </w:tcPr>
          <w:p w14:paraId="24C647A3">
            <w:pPr>
              <w:tabs>
                <w:tab w:val="left" w:pos="1111"/>
                <w:tab w:val="left" w:pos="8728"/>
              </w:tabs>
              <w:jc w:val="center"/>
              <w:rPr>
                <w:b/>
                <w:bCs/>
                <w:sz w:val="20"/>
                <w:szCs w:val="20"/>
              </w:rPr>
            </w:pPr>
            <w:r>
              <w:rPr>
                <w:b/>
                <w:bCs/>
                <w:sz w:val="20"/>
                <w:szCs w:val="20"/>
              </w:rPr>
              <w:t>в ЧС</w:t>
            </w:r>
          </w:p>
        </w:tc>
        <w:tc>
          <w:tcPr>
            <w:tcW w:w="2888" w:type="dxa"/>
          </w:tcPr>
          <w:p w14:paraId="59943FBD">
            <w:pPr>
              <w:tabs>
                <w:tab w:val="left" w:pos="1111"/>
                <w:tab w:val="left" w:pos="8728"/>
              </w:tabs>
              <w:jc w:val="center"/>
              <w:rPr>
                <w:b/>
                <w:bCs/>
                <w:sz w:val="20"/>
                <w:szCs w:val="20"/>
              </w:rPr>
            </w:pPr>
            <w:r>
              <w:rPr>
                <w:b/>
                <w:bCs/>
                <w:sz w:val="20"/>
                <w:szCs w:val="20"/>
              </w:rPr>
              <w:t>на водных объектах</w:t>
            </w:r>
          </w:p>
        </w:tc>
      </w:tr>
      <w:tr w14:paraId="6484446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399" w:type="dxa"/>
          </w:tcPr>
          <w:p w14:paraId="0DF7682D">
            <w:pPr>
              <w:rPr>
                <w:bCs/>
                <w:color w:val="FF0000"/>
                <w:sz w:val="20"/>
                <w:szCs w:val="20"/>
              </w:rPr>
            </w:pPr>
            <w:r>
              <w:rPr>
                <w:rStyle w:val="170"/>
                <w:color w:val="auto"/>
                <w:sz w:val="20"/>
                <w:szCs w:val="20"/>
              </w:rPr>
              <w:t>село Сухарево</w:t>
            </w:r>
          </w:p>
        </w:tc>
        <w:tc>
          <w:tcPr>
            <w:tcW w:w="2492" w:type="dxa"/>
            <w:vAlign w:val="center"/>
          </w:tcPr>
          <w:p w14:paraId="58612D72">
            <w:pPr>
              <w:tabs>
                <w:tab w:val="left" w:pos="1111"/>
                <w:tab w:val="left" w:pos="8728"/>
              </w:tabs>
              <w:jc w:val="center"/>
              <w:rPr>
                <w:bCs/>
                <w:sz w:val="20"/>
                <w:szCs w:val="20"/>
                <w:lang w:val="ru-RU"/>
              </w:rPr>
            </w:pPr>
            <w:r>
              <w:rPr>
                <w:bCs/>
                <w:sz w:val="20"/>
                <w:szCs w:val="20"/>
                <w:lang w:val="ru-RU"/>
              </w:rPr>
              <w:t>0</w:t>
            </w:r>
          </w:p>
        </w:tc>
        <w:tc>
          <w:tcPr>
            <w:tcW w:w="2286" w:type="dxa"/>
            <w:vAlign w:val="center"/>
          </w:tcPr>
          <w:p w14:paraId="602F6E51">
            <w:pPr>
              <w:tabs>
                <w:tab w:val="left" w:pos="1111"/>
                <w:tab w:val="left" w:pos="8728"/>
              </w:tabs>
              <w:jc w:val="center"/>
              <w:rPr>
                <w:bCs/>
                <w:sz w:val="20"/>
                <w:szCs w:val="20"/>
                <w:lang w:val="ru-RU"/>
              </w:rPr>
            </w:pPr>
            <w:r>
              <w:rPr>
                <w:bCs/>
                <w:sz w:val="20"/>
                <w:szCs w:val="20"/>
                <w:lang w:val="ru-RU"/>
              </w:rPr>
              <w:t>0</w:t>
            </w:r>
          </w:p>
        </w:tc>
        <w:tc>
          <w:tcPr>
            <w:tcW w:w="2888" w:type="dxa"/>
            <w:vAlign w:val="center"/>
          </w:tcPr>
          <w:p w14:paraId="0216A22E">
            <w:pPr>
              <w:tabs>
                <w:tab w:val="left" w:pos="1111"/>
                <w:tab w:val="left" w:pos="8728"/>
              </w:tabs>
              <w:jc w:val="center"/>
              <w:rPr>
                <w:bCs/>
                <w:sz w:val="20"/>
                <w:szCs w:val="20"/>
                <w:lang w:val="ru-RU"/>
              </w:rPr>
            </w:pPr>
            <w:r>
              <w:rPr>
                <w:bCs/>
                <w:sz w:val="20"/>
                <w:szCs w:val="20"/>
                <w:lang w:val="ru-RU"/>
              </w:rPr>
              <w:t>0</w:t>
            </w:r>
          </w:p>
        </w:tc>
      </w:tr>
    </w:tbl>
    <w:p w14:paraId="79A90288">
      <w:pPr>
        <w:spacing w:line="360" w:lineRule="auto"/>
        <w:ind w:firstLine="567"/>
        <w:contextualSpacing/>
        <w:jc w:val="center"/>
        <w:rPr>
          <w:b/>
          <w:lang w:val="ru-RU"/>
        </w:rPr>
      </w:pPr>
    </w:p>
    <w:p w14:paraId="3441C43A">
      <w:pPr>
        <w:spacing w:line="360" w:lineRule="auto"/>
        <w:ind w:firstLine="567"/>
        <w:contextualSpacing/>
        <w:jc w:val="center"/>
        <w:rPr>
          <w:b/>
          <w:lang w:val="ru-RU"/>
        </w:rPr>
      </w:pPr>
      <w:r>
        <w:rPr>
          <w:b/>
          <w:lang w:val="ru-RU"/>
        </w:rPr>
        <w:t>Обобщенный показатель состояния защиты населения от потенциальных опасностей</w:t>
      </w:r>
    </w:p>
    <w:p w14:paraId="2D462117">
      <w:pPr>
        <w:spacing w:line="276" w:lineRule="auto"/>
        <w:ind w:firstLine="567"/>
        <w:contextualSpacing/>
        <w:jc w:val="both"/>
        <w:rPr>
          <w:sz w:val="28"/>
          <w:szCs w:val="28"/>
          <w:lang w:val="ru-RU"/>
        </w:rPr>
      </w:pPr>
      <w:r>
        <w:rPr>
          <w:sz w:val="28"/>
          <w:szCs w:val="28"/>
          <w:lang w:val="ru-RU"/>
        </w:rPr>
        <w:t>Сложившаяся в 2020-2024 году природно-климатическая ситуация, не привела к возникновению чрезвычайной ситуации.</w:t>
      </w:r>
    </w:p>
    <w:p w14:paraId="564337C1">
      <w:pPr>
        <w:spacing w:line="276" w:lineRule="auto"/>
        <w:ind w:firstLine="567"/>
        <w:contextualSpacing/>
        <w:jc w:val="both"/>
        <w:rPr>
          <w:sz w:val="28"/>
          <w:szCs w:val="28"/>
          <w:lang w:val="ru-RU"/>
        </w:rPr>
      </w:pPr>
      <w:r>
        <w:rPr>
          <w:sz w:val="28"/>
          <w:szCs w:val="28"/>
          <w:lang w:val="ru-RU"/>
        </w:rPr>
        <w:t>Проведенный комплекс мероприятий. направленный на предупреждение чрезвычайных ситуаций, позволил избежать на территории села возникновение чрезвычайных ситуаций, возникновение и ликвидация которых зависит от человеческого фактора.</w:t>
      </w:r>
    </w:p>
    <w:p w14:paraId="32B17494">
      <w:pPr>
        <w:spacing w:line="276" w:lineRule="auto"/>
        <w:ind w:firstLine="567"/>
        <w:contextualSpacing/>
        <w:jc w:val="both"/>
        <w:rPr>
          <w:color w:val="FF0000"/>
          <w:sz w:val="28"/>
          <w:szCs w:val="28"/>
          <w:lang w:val="ru-RU"/>
        </w:rPr>
      </w:pPr>
    </w:p>
    <w:p w14:paraId="763C7E3B">
      <w:pPr>
        <w:pStyle w:val="2"/>
        <w:numPr>
          <w:ilvl w:val="0"/>
          <w:numId w:val="2"/>
        </w:numPr>
        <w:tabs>
          <w:tab w:val="left" w:pos="966"/>
        </w:tabs>
        <w:ind w:left="284" w:right="114" w:firstLine="566"/>
        <w:jc w:val="both"/>
        <w:rPr>
          <w:lang w:val="ru-RU"/>
        </w:rPr>
      </w:pPr>
      <w:bookmarkStart w:id="23" w:name="_Toc198723411"/>
      <w:r>
        <w:rPr>
          <w:lang w:val="ru-RU"/>
        </w:rPr>
        <w:t>Перечень земельных участков, которые включаются в границы населенных пунктов, входящих в состав муниципального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23"/>
    </w:p>
    <w:p w14:paraId="01CEBAFE">
      <w:pPr>
        <w:spacing w:line="276" w:lineRule="auto"/>
        <w:ind w:firstLine="567"/>
        <w:contextualSpacing/>
        <w:jc w:val="both"/>
        <w:rPr>
          <w:color w:val="FF0000"/>
          <w:sz w:val="28"/>
          <w:szCs w:val="28"/>
          <w:lang w:val="ru-RU"/>
        </w:rPr>
      </w:pPr>
    </w:p>
    <w:p w14:paraId="6A6ED1ED">
      <w:pPr>
        <w:spacing w:line="276" w:lineRule="auto"/>
        <w:ind w:firstLine="567"/>
        <w:contextualSpacing/>
        <w:jc w:val="both"/>
        <w:rPr>
          <w:sz w:val="28"/>
          <w:szCs w:val="28"/>
          <w:lang w:val="ru-RU"/>
        </w:rPr>
      </w:pPr>
      <w:r>
        <w:rPr>
          <w:sz w:val="28"/>
          <w:szCs w:val="28"/>
          <w:lang w:val="ru-RU"/>
        </w:rPr>
        <w:t>Данным проектом внесения изменений в генеральный план Валуйского муниципального округа Белгородской области предусмотрено изменение границ населенного пункта села Сухарево,</w:t>
      </w:r>
    </w:p>
    <w:p w14:paraId="39EA3020">
      <w:pPr>
        <w:pStyle w:val="50"/>
        <w:spacing w:line="276" w:lineRule="auto"/>
        <w:ind w:left="851" w:firstLine="0"/>
        <w:contextualSpacing/>
        <w:jc w:val="both"/>
        <w:rPr>
          <w:sz w:val="28"/>
          <w:szCs w:val="28"/>
          <w:lang w:val="ru-RU"/>
        </w:rPr>
      </w:pPr>
    </w:p>
    <w:p w14:paraId="63AFD4BA">
      <w:pPr>
        <w:spacing w:line="276" w:lineRule="auto"/>
        <w:ind w:firstLine="567"/>
        <w:contextualSpacing/>
        <w:jc w:val="both"/>
        <w:rPr>
          <w:sz w:val="28"/>
          <w:szCs w:val="28"/>
          <w:lang w:val="ru-RU"/>
        </w:rPr>
      </w:pPr>
      <w:r>
        <w:rPr>
          <w:sz w:val="28"/>
          <w:szCs w:val="28"/>
          <w:lang w:val="ru-RU"/>
        </w:rPr>
        <w:t>В соответствии с п.7ч.7ст.23 Градостроительного кодекса Российской Федерации в составе материалов по обоснованию генерального плана в текстовой форме приводится перечень земельных участков, которые включаются в границы населенных пунктов, входящих в состав поселения, муниципального округа,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p>
    <w:p w14:paraId="07AB73F2">
      <w:pPr>
        <w:widowControl/>
        <w:shd w:val="clear" w:color="auto" w:fill="FFFFFF"/>
        <w:autoSpaceDE/>
        <w:autoSpaceDN/>
        <w:spacing w:line="276" w:lineRule="auto"/>
        <w:ind w:firstLine="547"/>
        <w:jc w:val="both"/>
        <w:rPr>
          <w:sz w:val="28"/>
          <w:szCs w:val="28"/>
          <w:shd w:val="clear" w:color="auto" w:fill="FFFFFF"/>
          <w:lang w:val="ru-RU" w:eastAsia="ru-RU"/>
        </w:rPr>
      </w:pPr>
      <w:r>
        <w:rPr>
          <w:sz w:val="28"/>
          <w:szCs w:val="28"/>
          <w:lang w:val="ru-RU"/>
        </w:rPr>
        <w:t xml:space="preserve">Существующие границы населенного пункта села Сухарево Валуйского муниципального округа Белгородской области отображены в соответствии с данными ранее утвержденного генерального плана </w:t>
      </w:r>
      <w:r>
        <w:rPr>
          <w:sz w:val="28"/>
          <w:szCs w:val="28"/>
          <w:shd w:val="clear" w:color="auto" w:fill="FFFFFF"/>
          <w:lang w:val="ru-RU" w:eastAsia="ru-RU"/>
        </w:rPr>
        <w:t>Валуйского городского округа</w:t>
      </w:r>
      <w:r>
        <w:rPr>
          <w:sz w:val="28"/>
          <w:szCs w:val="28"/>
          <w:lang w:val="ru-RU"/>
        </w:rPr>
        <w:t xml:space="preserve"> Белгородской области</w:t>
      </w:r>
      <w:r>
        <w:rPr>
          <w:sz w:val="28"/>
          <w:szCs w:val="28"/>
          <w:shd w:val="clear" w:color="auto" w:fill="FFFFFF"/>
          <w:lang w:val="ru-RU" w:eastAsia="ru-RU"/>
        </w:rPr>
        <w:t xml:space="preserve">, утвержденного распоряжением департамента строительства и транспорта Белгородской области от 24.12.2018 № 766 (в редакции от 11.08.2022 </w:t>
      </w:r>
      <w:r>
        <w:rPr>
          <w:sz w:val="28"/>
          <w:szCs w:val="28"/>
          <w:lang w:val="ru-RU"/>
        </w:rPr>
        <w:t>г</w:t>
      </w:r>
      <w:r>
        <w:rPr>
          <w:sz w:val="28"/>
          <w:szCs w:val="28"/>
          <w:shd w:val="clear" w:color="auto" w:fill="FFFFFF"/>
          <w:lang w:val="ru-RU" w:eastAsia="ru-RU"/>
        </w:rPr>
        <w:t xml:space="preserve">). </w:t>
      </w:r>
    </w:p>
    <w:p w14:paraId="196A9317">
      <w:pPr>
        <w:widowControl/>
        <w:shd w:val="clear" w:color="auto" w:fill="FFFFFF"/>
        <w:autoSpaceDE/>
        <w:autoSpaceDN/>
        <w:spacing w:line="276" w:lineRule="auto"/>
        <w:ind w:firstLine="547"/>
        <w:jc w:val="both"/>
        <w:rPr>
          <w:sz w:val="28"/>
          <w:szCs w:val="28"/>
          <w:shd w:val="clear" w:color="auto" w:fill="FFFFFF"/>
          <w:lang w:val="ru-RU" w:eastAsia="ru-RU"/>
        </w:rPr>
      </w:pPr>
      <w:r>
        <w:rPr>
          <w:sz w:val="28"/>
          <w:szCs w:val="28"/>
          <w:shd w:val="clear" w:color="auto" w:fill="FFFFFF"/>
          <w:lang w:val="ru-RU" w:eastAsia="ru-RU"/>
        </w:rPr>
        <w:t>Границы лесничеств указаны в соответствии со сведениями о границах Валуйского лесничества, внесенных в Единый государственный реестр недвижимости (реестровый номер 31:26-15.1).</w:t>
      </w:r>
    </w:p>
    <w:p w14:paraId="0DC56E7E">
      <w:pPr>
        <w:ind w:firstLine="4"/>
        <w:jc w:val="both"/>
        <w:rPr>
          <w:b/>
          <w:color w:val="000000" w:themeColor="text1"/>
          <w:sz w:val="28"/>
          <w:szCs w:val="28"/>
          <w:lang w:val="ru-RU"/>
          <w14:textFill>
            <w14:solidFill>
              <w14:schemeClr w14:val="tx1"/>
            </w14:solidFill>
          </w14:textFill>
        </w:rPr>
      </w:pPr>
    </w:p>
    <w:p w14:paraId="6C0B91DA">
      <w:pPr>
        <w:pStyle w:val="22"/>
        <w:shd w:val="clear" w:color="auto" w:fill="FFFFFF"/>
        <w:spacing w:after="200" w:line="276" w:lineRule="auto"/>
        <w:ind w:left="146"/>
        <w:contextualSpacing/>
        <w:jc w:val="center"/>
        <w:rPr>
          <w:sz w:val="28"/>
          <w:szCs w:val="28"/>
          <w:lang w:eastAsia="ru-RU"/>
        </w:rPr>
      </w:pPr>
    </w:p>
    <w:p w14:paraId="10EDC5CC">
      <w:pPr>
        <w:pStyle w:val="22"/>
        <w:shd w:val="clear" w:color="auto" w:fill="FFFFFF"/>
        <w:spacing w:after="200" w:line="276" w:lineRule="auto"/>
        <w:ind w:left="146"/>
        <w:contextualSpacing/>
        <w:jc w:val="center"/>
        <w:rPr>
          <w:sz w:val="28"/>
          <w:szCs w:val="28"/>
          <w:lang w:eastAsia="ru-RU"/>
        </w:rPr>
      </w:pPr>
    </w:p>
    <w:p w14:paraId="3E21974F">
      <w:pPr>
        <w:pStyle w:val="22"/>
        <w:shd w:val="clear" w:color="auto" w:fill="FFFFFF"/>
        <w:spacing w:after="200" w:line="276" w:lineRule="auto"/>
        <w:ind w:left="146"/>
        <w:contextualSpacing/>
        <w:jc w:val="center"/>
        <w:rPr>
          <w:sz w:val="28"/>
          <w:szCs w:val="28"/>
          <w:lang w:eastAsia="ru-RU"/>
        </w:rPr>
      </w:pPr>
    </w:p>
    <w:p w14:paraId="4FA1397B">
      <w:pPr>
        <w:pStyle w:val="22"/>
        <w:shd w:val="clear" w:color="auto" w:fill="FFFFFF"/>
        <w:spacing w:after="200" w:line="276" w:lineRule="auto"/>
        <w:ind w:left="146"/>
        <w:contextualSpacing/>
        <w:jc w:val="center"/>
        <w:rPr>
          <w:sz w:val="28"/>
          <w:szCs w:val="28"/>
          <w:lang w:eastAsia="ru-RU"/>
        </w:rPr>
      </w:pPr>
    </w:p>
    <w:p w14:paraId="6B74949B">
      <w:pPr>
        <w:pStyle w:val="22"/>
        <w:shd w:val="clear" w:color="auto" w:fill="FFFFFF"/>
        <w:spacing w:after="200" w:line="276" w:lineRule="auto"/>
        <w:ind w:left="146"/>
        <w:contextualSpacing/>
        <w:jc w:val="center"/>
        <w:rPr>
          <w:sz w:val="28"/>
          <w:szCs w:val="28"/>
          <w:lang w:eastAsia="ru-RU"/>
        </w:rPr>
      </w:pPr>
    </w:p>
    <w:p w14:paraId="7AEA86E2">
      <w:pPr>
        <w:pStyle w:val="22"/>
        <w:shd w:val="clear" w:color="auto" w:fill="FFFFFF"/>
        <w:spacing w:after="200" w:line="276" w:lineRule="auto"/>
        <w:ind w:left="146"/>
        <w:contextualSpacing/>
        <w:jc w:val="center"/>
        <w:rPr>
          <w:sz w:val="28"/>
          <w:szCs w:val="28"/>
          <w:lang w:eastAsia="ru-RU"/>
        </w:rPr>
      </w:pPr>
    </w:p>
    <w:p w14:paraId="20A5228B">
      <w:pPr>
        <w:pStyle w:val="22"/>
        <w:shd w:val="clear" w:color="auto" w:fill="FFFFFF"/>
        <w:spacing w:after="200" w:line="276" w:lineRule="auto"/>
        <w:ind w:left="146"/>
        <w:contextualSpacing/>
        <w:jc w:val="center"/>
        <w:rPr>
          <w:sz w:val="28"/>
          <w:szCs w:val="28"/>
          <w:lang w:eastAsia="ru-RU"/>
        </w:rPr>
      </w:pPr>
    </w:p>
    <w:p w14:paraId="47F68A08">
      <w:pPr>
        <w:pStyle w:val="22"/>
        <w:shd w:val="clear" w:color="auto" w:fill="FFFFFF"/>
        <w:spacing w:after="200" w:line="276" w:lineRule="auto"/>
        <w:ind w:left="146"/>
        <w:contextualSpacing/>
        <w:jc w:val="center"/>
        <w:rPr>
          <w:sz w:val="28"/>
          <w:szCs w:val="28"/>
          <w:lang w:eastAsia="ru-RU"/>
        </w:rPr>
      </w:pPr>
    </w:p>
    <w:p w14:paraId="2DACE8BC">
      <w:pPr>
        <w:pStyle w:val="22"/>
        <w:shd w:val="clear" w:color="auto" w:fill="FFFFFF"/>
        <w:spacing w:after="200" w:line="276" w:lineRule="auto"/>
        <w:ind w:left="146"/>
        <w:contextualSpacing/>
        <w:jc w:val="center"/>
        <w:rPr>
          <w:sz w:val="28"/>
          <w:szCs w:val="28"/>
          <w:lang w:eastAsia="ru-RU"/>
        </w:rPr>
      </w:pPr>
    </w:p>
    <w:p w14:paraId="6B85193F">
      <w:pPr>
        <w:pStyle w:val="22"/>
        <w:shd w:val="clear" w:color="auto" w:fill="FFFFFF"/>
        <w:spacing w:after="200" w:line="276" w:lineRule="auto"/>
        <w:ind w:left="146"/>
        <w:contextualSpacing/>
        <w:jc w:val="center"/>
        <w:rPr>
          <w:sz w:val="28"/>
          <w:szCs w:val="28"/>
          <w:lang w:eastAsia="ru-RU"/>
        </w:rPr>
      </w:pPr>
    </w:p>
    <w:p w14:paraId="6CE77A7D">
      <w:pPr>
        <w:pStyle w:val="22"/>
        <w:shd w:val="clear" w:color="auto" w:fill="FFFFFF"/>
        <w:spacing w:after="200" w:line="276" w:lineRule="auto"/>
        <w:ind w:left="146"/>
        <w:contextualSpacing/>
        <w:jc w:val="center"/>
        <w:rPr>
          <w:sz w:val="28"/>
          <w:szCs w:val="28"/>
          <w:lang w:eastAsia="ru-RU"/>
        </w:rPr>
      </w:pPr>
    </w:p>
    <w:p w14:paraId="0FA52E71">
      <w:pPr>
        <w:pStyle w:val="22"/>
        <w:shd w:val="clear" w:color="auto" w:fill="FFFFFF"/>
        <w:spacing w:after="200" w:line="276" w:lineRule="auto"/>
        <w:ind w:left="146"/>
        <w:contextualSpacing/>
        <w:jc w:val="center"/>
        <w:rPr>
          <w:sz w:val="28"/>
          <w:szCs w:val="28"/>
          <w:lang w:eastAsia="ru-RU"/>
        </w:rPr>
      </w:pPr>
    </w:p>
    <w:p w14:paraId="28D20E02">
      <w:pPr>
        <w:pStyle w:val="22"/>
        <w:shd w:val="clear" w:color="auto" w:fill="FFFFFF"/>
        <w:spacing w:after="200" w:line="276" w:lineRule="auto"/>
        <w:ind w:left="146"/>
        <w:contextualSpacing/>
        <w:jc w:val="center"/>
        <w:rPr>
          <w:sz w:val="28"/>
          <w:szCs w:val="28"/>
          <w:lang w:eastAsia="ru-RU"/>
        </w:rPr>
      </w:pPr>
    </w:p>
    <w:p w14:paraId="0B93B102">
      <w:pPr>
        <w:pStyle w:val="22"/>
        <w:shd w:val="clear" w:color="auto" w:fill="FFFFFF"/>
        <w:spacing w:after="200" w:line="276" w:lineRule="auto"/>
        <w:ind w:left="146"/>
        <w:contextualSpacing/>
        <w:jc w:val="center"/>
        <w:rPr>
          <w:sz w:val="28"/>
          <w:szCs w:val="28"/>
          <w:lang w:eastAsia="ru-RU"/>
        </w:rPr>
      </w:pPr>
    </w:p>
    <w:p w14:paraId="2F64319E">
      <w:pPr>
        <w:pStyle w:val="22"/>
        <w:shd w:val="clear" w:color="auto" w:fill="FFFFFF"/>
        <w:spacing w:after="200" w:line="276" w:lineRule="auto"/>
        <w:ind w:left="146"/>
        <w:contextualSpacing/>
        <w:jc w:val="center"/>
        <w:rPr>
          <w:sz w:val="28"/>
          <w:szCs w:val="28"/>
          <w:lang w:eastAsia="ru-RU"/>
        </w:rPr>
      </w:pPr>
    </w:p>
    <w:p w14:paraId="2BB339E6">
      <w:pPr>
        <w:pStyle w:val="22"/>
        <w:shd w:val="clear" w:color="auto" w:fill="FFFFFF"/>
        <w:spacing w:after="200" w:line="276" w:lineRule="auto"/>
        <w:ind w:left="146"/>
        <w:contextualSpacing/>
        <w:jc w:val="center"/>
        <w:rPr>
          <w:sz w:val="28"/>
          <w:szCs w:val="28"/>
          <w:lang w:eastAsia="ru-RU"/>
        </w:rPr>
      </w:pPr>
    </w:p>
    <w:p w14:paraId="7F3B6AA8">
      <w:pPr>
        <w:pStyle w:val="22"/>
        <w:shd w:val="clear" w:color="auto" w:fill="FFFFFF"/>
        <w:spacing w:after="200" w:line="276" w:lineRule="auto"/>
        <w:ind w:left="146"/>
        <w:contextualSpacing/>
        <w:jc w:val="center"/>
        <w:rPr>
          <w:sz w:val="28"/>
          <w:szCs w:val="28"/>
          <w:lang w:eastAsia="ru-RU"/>
        </w:rPr>
      </w:pPr>
    </w:p>
    <w:p w14:paraId="718035A9">
      <w:pPr>
        <w:pStyle w:val="22"/>
        <w:shd w:val="clear" w:color="auto" w:fill="FFFFFF"/>
        <w:spacing w:after="200" w:line="276" w:lineRule="auto"/>
        <w:ind w:left="146"/>
        <w:contextualSpacing/>
        <w:jc w:val="center"/>
        <w:rPr>
          <w:sz w:val="28"/>
          <w:szCs w:val="28"/>
          <w:lang w:eastAsia="ru-RU"/>
        </w:rPr>
      </w:pPr>
    </w:p>
    <w:p w14:paraId="01ADBD0F">
      <w:pPr>
        <w:pStyle w:val="22"/>
        <w:shd w:val="clear" w:color="auto" w:fill="FFFFFF"/>
        <w:spacing w:after="200" w:line="276" w:lineRule="auto"/>
        <w:ind w:left="146"/>
        <w:contextualSpacing/>
        <w:jc w:val="center"/>
        <w:rPr>
          <w:sz w:val="28"/>
          <w:szCs w:val="28"/>
          <w:lang w:eastAsia="ru-RU"/>
        </w:rPr>
      </w:pPr>
    </w:p>
    <w:p w14:paraId="38C07AE3">
      <w:pPr>
        <w:pStyle w:val="22"/>
        <w:shd w:val="clear" w:color="auto" w:fill="FFFFFF"/>
        <w:spacing w:after="200" w:line="276" w:lineRule="auto"/>
        <w:ind w:left="146"/>
        <w:contextualSpacing/>
        <w:jc w:val="center"/>
        <w:rPr>
          <w:sz w:val="28"/>
          <w:szCs w:val="28"/>
          <w:lang w:eastAsia="ru-RU"/>
        </w:rPr>
      </w:pPr>
    </w:p>
    <w:p w14:paraId="51FE123D">
      <w:pPr>
        <w:pStyle w:val="22"/>
        <w:shd w:val="clear" w:color="auto" w:fill="FFFFFF"/>
        <w:spacing w:after="200" w:line="276" w:lineRule="auto"/>
        <w:ind w:left="146"/>
        <w:contextualSpacing/>
        <w:jc w:val="center"/>
        <w:rPr>
          <w:sz w:val="28"/>
          <w:szCs w:val="28"/>
          <w:lang w:eastAsia="ru-RU"/>
        </w:rPr>
      </w:pPr>
    </w:p>
    <w:p w14:paraId="2E7F0801">
      <w:pPr>
        <w:pStyle w:val="22"/>
        <w:shd w:val="clear" w:color="auto" w:fill="FFFFFF"/>
        <w:spacing w:after="200" w:line="276" w:lineRule="auto"/>
        <w:ind w:left="146"/>
        <w:contextualSpacing/>
        <w:jc w:val="center"/>
        <w:rPr>
          <w:sz w:val="28"/>
          <w:szCs w:val="28"/>
          <w:lang w:eastAsia="ru-RU"/>
        </w:rPr>
      </w:pPr>
    </w:p>
    <w:p w14:paraId="7EFACEBE">
      <w:pPr>
        <w:pStyle w:val="22"/>
        <w:shd w:val="clear" w:color="auto" w:fill="FFFFFF"/>
        <w:spacing w:after="200" w:line="276" w:lineRule="auto"/>
        <w:ind w:left="146"/>
        <w:contextualSpacing/>
        <w:jc w:val="center"/>
        <w:rPr>
          <w:sz w:val="28"/>
          <w:szCs w:val="28"/>
          <w:lang w:eastAsia="ru-RU"/>
        </w:rPr>
      </w:pPr>
    </w:p>
    <w:p w14:paraId="2A0112F3">
      <w:pPr>
        <w:pStyle w:val="22"/>
        <w:shd w:val="clear" w:color="auto" w:fill="FFFFFF"/>
        <w:spacing w:after="200" w:line="276" w:lineRule="auto"/>
        <w:ind w:left="146"/>
        <w:contextualSpacing/>
        <w:jc w:val="center"/>
        <w:rPr>
          <w:sz w:val="28"/>
          <w:szCs w:val="28"/>
          <w:lang w:eastAsia="ru-RU"/>
        </w:rPr>
      </w:pPr>
    </w:p>
    <w:p w14:paraId="36274B04">
      <w:pPr>
        <w:widowControl/>
        <w:autoSpaceDE/>
        <w:autoSpaceDN/>
        <w:ind w:left="182" w:right="163"/>
        <w:rPr>
          <w:b/>
          <w:sz w:val="20"/>
          <w:szCs w:val="20"/>
          <w:lang w:val="ru-RU" w:eastAsia="ru-RU"/>
        </w:rPr>
      </w:pPr>
    </w:p>
    <w:p w14:paraId="38F0B138">
      <w:pPr>
        <w:widowControl/>
        <w:autoSpaceDE/>
        <w:autoSpaceDN/>
        <w:ind w:left="182" w:right="163"/>
        <w:rPr>
          <w:b/>
          <w:sz w:val="20"/>
          <w:szCs w:val="20"/>
          <w:lang w:val="ru-RU" w:eastAsia="ru-RU"/>
        </w:rPr>
        <w:sectPr>
          <w:footerReference r:id="rId5" w:type="default"/>
          <w:pgSz w:w="11900" w:h="16840"/>
          <w:pgMar w:top="860" w:right="500" w:bottom="1260" w:left="1200" w:header="0" w:footer="1000" w:gutter="0"/>
          <w:cols w:space="720" w:num="1"/>
        </w:sectPr>
      </w:pPr>
    </w:p>
    <w:p w14:paraId="1790BE2C">
      <w:pPr>
        <w:pStyle w:val="3"/>
        <w:numPr>
          <w:ilvl w:val="1"/>
          <w:numId w:val="2"/>
        </w:numPr>
        <w:shd w:val="clear" w:color="auto" w:fill="FFFFFF"/>
        <w:spacing w:before="240" w:after="240" w:line="317" w:lineRule="exact"/>
        <w:ind w:left="0" w:firstLine="284"/>
        <w:jc w:val="center"/>
        <w:rPr>
          <w:rFonts w:ascii="Times New Roman" w:hAnsi="Times New Roman"/>
          <w:color w:val="auto"/>
          <w:sz w:val="28"/>
          <w:lang w:val="ru-RU"/>
        </w:rPr>
      </w:pPr>
      <w:r>
        <w:rPr>
          <w:rFonts w:ascii="Times New Roman" w:hAnsi="Times New Roman"/>
          <w:color w:val="auto"/>
          <w:sz w:val="28"/>
          <w:lang w:val="ru-RU"/>
        </w:rPr>
        <w:t>Перечень земельных участков, включаемых в границы населенного пункта</w:t>
      </w:r>
    </w:p>
    <w:tbl>
      <w:tblPr>
        <w:tblStyle w:val="44"/>
        <w:tblW w:w="15168" w:type="dxa"/>
        <w:tblInd w:w="-17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
        <w:gridCol w:w="5528"/>
        <w:gridCol w:w="1985"/>
        <w:gridCol w:w="992"/>
        <w:gridCol w:w="1843"/>
        <w:gridCol w:w="2410"/>
        <w:gridCol w:w="1984"/>
      </w:tblGrid>
      <w:tr w14:paraId="4912BA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3AD58585">
            <w:pPr>
              <w:widowControl/>
              <w:autoSpaceDE/>
              <w:autoSpaceDN/>
              <w:ind w:right="168"/>
              <w:rPr>
                <w:b/>
                <w:sz w:val="20"/>
                <w:szCs w:val="20"/>
                <w:lang w:val="ru-RU" w:eastAsia="ru-RU"/>
              </w:rPr>
            </w:pPr>
          </w:p>
          <w:p w14:paraId="7215C78B">
            <w:pPr>
              <w:widowControl/>
              <w:autoSpaceDE/>
              <w:autoSpaceDN/>
              <w:ind w:right="168"/>
              <w:rPr>
                <w:b/>
                <w:sz w:val="20"/>
                <w:szCs w:val="20"/>
                <w:lang w:val="ru-RU" w:eastAsia="ru-RU"/>
              </w:rPr>
            </w:pPr>
          </w:p>
          <w:p w14:paraId="552F7AF0">
            <w:pPr>
              <w:widowControl/>
              <w:autoSpaceDE/>
              <w:autoSpaceDN/>
              <w:ind w:right="168"/>
              <w:jc w:val="center"/>
              <w:rPr>
                <w:b/>
                <w:sz w:val="20"/>
                <w:szCs w:val="20"/>
                <w:lang w:val="ru-RU" w:eastAsia="ru-RU"/>
              </w:rPr>
            </w:pPr>
            <w:r>
              <w:rPr>
                <w:b/>
                <w:sz w:val="20"/>
                <w:szCs w:val="20"/>
                <w:lang w:val="ru-RU" w:eastAsia="ru-RU"/>
              </w:rPr>
              <w:t>№</w:t>
            </w:r>
          </w:p>
          <w:p w14:paraId="7CD8488B">
            <w:pPr>
              <w:widowControl/>
              <w:autoSpaceDE/>
              <w:autoSpaceDN/>
              <w:ind w:right="132"/>
              <w:jc w:val="center"/>
              <w:rPr>
                <w:b/>
                <w:sz w:val="20"/>
                <w:szCs w:val="20"/>
                <w:lang w:val="ru-RU" w:eastAsia="ru-RU"/>
              </w:rPr>
            </w:pPr>
            <w:r>
              <w:rPr>
                <w:b/>
                <w:sz w:val="20"/>
                <w:szCs w:val="20"/>
                <w:lang w:val="ru-RU" w:eastAsia="ru-RU"/>
              </w:rPr>
              <w:t>п/п</w:t>
            </w:r>
          </w:p>
          <w:p w14:paraId="5E875AC7">
            <w:pPr>
              <w:widowControl/>
              <w:autoSpaceDE/>
              <w:autoSpaceDN/>
              <w:ind w:right="168"/>
              <w:rPr>
                <w:b/>
                <w:sz w:val="20"/>
                <w:szCs w:val="20"/>
                <w:lang w:val="ru-RU" w:eastAsia="ru-RU"/>
              </w:rPr>
            </w:pPr>
          </w:p>
        </w:tc>
        <w:tc>
          <w:tcPr>
            <w:tcW w:w="5528" w:type="dxa"/>
            <w:vAlign w:val="center"/>
          </w:tcPr>
          <w:p w14:paraId="7E0A3EA9">
            <w:pPr>
              <w:widowControl/>
              <w:autoSpaceDE/>
              <w:autoSpaceDN/>
              <w:ind w:right="132"/>
              <w:rPr>
                <w:b/>
                <w:sz w:val="20"/>
                <w:szCs w:val="20"/>
                <w:lang w:val="ru-RU" w:eastAsia="ru-RU"/>
              </w:rPr>
            </w:pPr>
            <w:r>
              <w:rPr>
                <w:b/>
                <w:bCs/>
                <w:sz w:val="20"/>
                <w:szCs w:val="20"/>
                <w:lang w:val="ru-RU" w:eastAsia="ru-RU"/>
              </w:rPr>
              <w:t>Графическая схема</w:t>
            </w:r>
          </w:p>
        </w:tc>
        <w:tc>
          <w:tcPr>
            <w:tcW w:w="1985" w:type="dxa"/>
            <w:vAlign w:val="center"/>
          </w:tcPr>
          <w:p w14:paraId="3AB39E52">
            <w:pPr>
              <w:widowControl/>
              <w:autoSpaceDE/>
              <w:autoSpaceDN/>
              <w:ind w:right="158"/>
              <w:rPr>
                <w:b/>
                <w:sz w:val="20"/>
                <w:szCs w:val="20"/>
                <w:lang w:val="ru-RU" w:eastAsia="ru-RU"/>
              </w:rPr>
            </w:pPr>
            <w:r>
              <w:rPr>
                <w:b/>
                <w:sz w:val="20"/>
                <w:szCs w:val="20"/>
                <w:lang w:val="ru-RU" w:eastAsia="ru-RU"/>
              </w:rPr>
              <w:t>Кадастровый номер земельного участка</w:t>
            </w:r>
          </w:p>
        </w:tc>
        <w:tc>
          <w:tcPr>
            <w:tcW w:w="992" w:type="dxa"/>
            <w:vAlign w:val="center"/>
          </w:tcPr>
          <w:p w14:paraId="14CB0D1A">
            <w:pPr>
              <w:widowControl/>
              <w:autoSpaceDE/>
              <w:autoSpaceDN/>
              <w:ind w:right="130"/>
              <w:rPr>
                <w:b/>
                <w:sz w:val="20"/>
                <w:szCs w:val="20"/>
                <w:lang w:val="ru-RU" w:eastAsia="ru-RU"/>
              </w:rPr>
            </w:pPr>
            <w:r>
              <w:rPr>
                <w:b/>
                <w:sz w:val="20"/>
                <w:szCs w:val="20"/>
                <w:lang w:val="ru-RU" w:eastAsia="ru-RU"/>
              </w:rPr>
              <w:t>Площ, кв.м</w:t>
            </w:r>
          </w:p>
        </w:tc>
        <w:tc>
          <w:tcPr>
            <w:tcW w:w="1843" w:type="dxa"/>
            <w:vAlign w:val="center"/>
          </w:tcPr>
          <w:p w14:paraId="02CB1F05">
            <w:pPr>
              <w:widowControl/>
              <w:autoSpaceDE/>
              <w:autoSpaceDN/>
              <w:ind w:right="277"/>
              <w:rPr>
                <w:b/>
                <w:sz w:val="20"/>
                <w:szCs w:val="20"/>
                <w:lang w:val="ru-RU" w:eastAsia="ru-RU"/>
              </w:rPr>
            </w:pPr>
            <w:r>
              <w:rPr>
                <w:b/>
                <w:sz w:val="20"/>
                <w:szCs w:val="20"/>
                <w:lang w:val="ru-RU" w:eastAsia="ru-RU"/>
              </w:rPr>
              <w:t>Разрешенное использование по документу</w:t>
            </w:r>
          </w:p>
        </w:tc>
        <w:tc>
          <w:tcPr>
            <w:tcW w:w="2410" w:type="dxa"/>
            <w:vAlign w:val="center"/>
          </w:tcPr>
          <w:p w14:paraId="148C4767">
            <w:pPr>
              <w:widowControl/>
              <w:autoSpaceDE/>
              <w:autoSpaceDN/>
              <w:ind w:right="50"/>
              <w:rPr>
                <w:b/>
                <w:sz w:val="20"/>
                <w:szCs w:val="20"/>
                <w:lang w:val="ru-RU" w:eastAsia="ru-RU"/>
              </w:rPr>
            </w:pPr>
            <w:r>
              <w:rPr>
                <w:b/>
                <w:sz w:val="20"/>
                <w:szCs w:val="20"/>
                <w:lang w:val="ru-RU" w:eastAsia="ru-RU"/>
              </w:rPr>
              <w:t>Категория земель существующая</w:t>
            </w:r>
          </w:p>
        </w:tc>
        <w:tc>
          <w:tcPr>
            <w:tcW w:w="1984" w:type="dxa"/>
            <w:vAlign w:val="center"/>
          </w:tcPr>
          <w:p w14:paraId="6E90BCD1">
            <w:pPr>
              <w:widowControl/>
              <w:autoSpaceDE/>
              <w:autoSpaceDN/>
              <w:ind w:right="163"/>
              <w:rPr>
                <w:b/>
                <w:sz w:val="20"/>
                <w:szCs w:val="20"/>
                <w:lang w:val="ru-RU" w:eastAsia="ru-RU"/>
              </w:rPr>
            </w:pPr>
            <w:r>
              <w:rPr>
                <w:b/>
                <w:sz w:val="20"/>
                <w:szCs w:val="20"/>
                <w:lang w:val="ru-RU" w:eastAsia="ru-RU"/>
              </w:rPr>
              <w:t>Цель планируемого использования(в соответствии с функциональным занирование ГП)</w:t>
            </w:r>
          </w:p>
        </w:tc>
      </w:tr>
      <w:tr w14:paraId="67A9B1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44827704">
            <w:pPr>
              <w:widowControl/>
              <w:autoSpaceDE/>
              <w:autoSpaceDN/>
              <w:ind w:right="-20"/>
              <w:jc w:val="center"/>
              <w:rPr>
                <w:b/>
                <w:sz w:val="20"/>
                <w:szCs w:val="20"/>
                <w:lang w:val="ru-RU" w:eastAsia="ru-RU"/>
              </w:rPr>
            </w:pPr>
          </w:p>
        </w:tc>
        <w:tc>
          <w:tcPr>
            <w:tcW w:w="5528" w:type="dxa"/>
            <w:vAlign w:val="center"/>
          </w:tcPr>
          <w:p w14:paraId="47BB15C7">
            <w:pPr>
              <w:widowControl/>
              <w:autoSpaceDE/>
              <w:autoSpaceDN/>
              <w:ind w:right="-20"/>
              <w:jc w:val="center"/>
              <w:rPr>
                <w:b/>
                <w:sz w:val="20"/>
                <w:szCs w:val="20"/>
                <w:lang w:val="ru-RU" w:eastAsia="ru-RU"/>
              </w:rPr>
            </w:pPr>
            <w:r>
              <w:rPr>
                <w:b/>
                <w:sz w:val="20"/>
                <w:szCs w:val="20"/>
                <w:lang w:val="ru-RU" w:eastAsia="ru-RU"/>
              </w:rPr>
              <w:t>1</w:t>
            </w:r>
          </w:p>
        </w:tc>
        <w:tc>
          <w:tcPr>
            <w:tcW w:w="1985" w:type="dxa"/>
            <w:vAlign w:val="center"/>
          </w:tcPr>
          <w:p w14:paraId="755FA998">
            <w:pPr>
              <w:widowControl/>
              <w:autoSpaceDE/>
              <w:autoSpaceDN/>
              <w:ind w:right="-20"/>
              <w:jc w:val="center"/>
              <w:rPr>
                <w:b/>
                <w:sz w:val="20"/>
                <w:szCs w:val="20"/>
                <w:lang w:val="ru-RU" w:eastAsia="ru-RU"/>
              </w:rPr>
            </w:pPr>
            <w:r>
              <w:rPr>
                <w:b/>
                <w:sz w:val="20"/>
                <w:szCs w:val="20"/>
                <w:lang w:val="ru-RU" w:eastAsia="ru-RU"/>
              </w:rPr>
              <w:t>2</w:t>
            </w:r>
          </w:p>
        </w:tc>
        <w:tc>
          <w:tcPr>
            <w:tcW w:w="992" w:type="dxa"/>
            <w:vAlign w:val="center"/>
          </w:tcPr>
          <w:p w14:paraId="7F782792">
            <w:pPr>
              <w:widowControl/>
              <w:autoSpaceDE/>
              <w:autoSpaceDN/>
              <w:ind w:right="-20"/>
              <w:jc w:val="center"/>
              <w:rPr>
                <w:b/>
                <w:sz w:val="20"/>
                <w:szCs w:val="20"/>
                <w:lang w:val="ru-RU" w:eastAsia="ru-RU"/>
              </w:rPr>
            </w:pPr>
            <w:r>
              <w:rPr>
                <w:b/>
                <w:sz w:val="20"/>
                <w:szCs w:val="20"/>
                <w:lang w:val="ru-RU" w:eastAsia="ru-RU"/>
              </w:rPr>
              <w:t>3</w:t>
            </w:r>
          </w:p>
        </w:tc>
        <w:tc>
          <w:tcPr>
            <w:tcW w:w="1843" w:type="dxa"/>
            <w:vAlign w:val="center"/>
          </w:tcPr>
          <w:p w14:paraId="7FE80155">
            <w:pPr>
              <w:widowControl/>
              <w:autoSpaceDE/>
              <w:autoSpaceDN/>
              <w:ind w:right="-20"/>
              <w:jc w:val="center"/>
              <w:rPr>
                <w:b/>
                <w:sz w:val="20"/>
                <w:szCs w:val="20"/>
                <w:lang w:val="ru-RU" w:eastAsia="ru-RU"/>
              </w:rPr>
            </w:pPr>
            <w:r>
              <w:rPr>
                <w:b/>
                <w:sz w:val="20"/>
                <w:szCs w:val="20"/>
                <w:lang w:val="ru-RU" w:eastAsia="ru-RU"/>
              </w:rPr>
              <w:t>4</w:t>
            </w:r>
          </w:p>
        </w:tc>
        <w:tc>
          <w:tcPr>
            <w:tcW w:w="2410" w:type="dxa"/>
            <w:vAlign w:val="center"/>
          </w:tcPr>
          <w:p w14:paraId="086B96FD">
            <w:pPr>
              <w:widowControl/>
              <w:autoSpaceDE/>
              <w:autoSpaceDN/>
              <w:ind w:right="-20"/>
              <w:jc w:val="center"/>
              <w:rPr>
                <w:b/>
                <w:sz w:val="20"/>
                <w:szCs w:val="20"/>
                <w:lang w:val="ru-RU" w:eastAsia="ru-RU"/>
              </w:rPr>
            </w:pPr>
            <w:r>
              <w:rPr>
                <w:b/>
                <w:sz w:val="20"/>
                <w:szCs w:val="20"/>
                <w:lang w:val="ru-RU" w:eastAsia="ru-RU"/>
              </w:rPr>
              <w:t>5</w:t>
            </w:r>
          </w:p>
        </w:tc>
        <w:tc>
          <w:tcPr>
            <w:tcW w:w="1984" w:type="dxa"/>
            <w:vAlign w:val="center"/>
          </w:tcPr>
          <w:p w14:paraId="5A56ABAC">
            <w:pPr>
              <w:widowControl/>
              <w:autoSpaceDE/>
              <w:autoSpaceDN/>
              <w:ind w:right="-20"/>
              <w:jc w:val="center"/>
              <w:rPr>
                <w:b/>
                <w:sz w:val="20"/>
                <w:szCs w:val="20"/>
                <w:lang w:val="ru-RU" w:eastAsia="ru-RU"/>
              </w:rPr>
            </w:pPr>
            <w:r>
              <w:rPr>
                <w:b/>
                <w:sz w:val="20"/>
                <w:szCs w:val="20"/>
                <w:lang w:val="ru-RU" w:eastAsia="ru-RU"/>
              </w:rPr>
              <w:t>6</w:t>
            </w:r>
          </w:p>
        </w:tc>
      </w:tr>
      <w:tr w14:paraId="45EF9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0907AAC9">
            <w:pPr>
              <w:widowControl/>
              <w:autoSpaceDE/>
              <w:autoSpaceDN/>
              <w:ind w:right="-20"/>
              <w:jc w:val="center"/>
              <w:rPr>
                <w:b/>
                <w:sz w:val="20"/>
                <w:szCs w:val="20"/>
                <w:lang w:val="ru-RU" w:eastAsia="ru-RU"/>
              </w:rPr>
            </w:pPr>
          </w:p>
        </w:tc>
        <w:tc>
          <w:tcPr>
            <w:tcW w:w="14742" w:type="dxa"/>
            <w:gridSpan w:val="6"/>
          </w:tcPr>
          <w:p w14:paraId="6DA5EFA2">
            <w:pPr>
              <w:widowControl/>
              <w:autoSpaceDE/>
              <w:autoSpaceDN/>
              <w:ind w:right="-20"/>
              <w:jc w:val="center"/>
              <w:rPr>
                <w:b/>
                <w:bCs/>
                <w:sz w:val="24"/>
                <w:szCs w:val="24"/>
                <w:lang w:val="ru-RU" w:eastAsia="ru-RU"/>
              </w:rPr>
            </w:pPr>
            <w:r>
              <w:rPr>
                <w:b/>
                <w:sz w:val="20"/>
                <w:szCs w:val="20"/>
                <w:lang w:val="ru-RU" w:eastAsia="ru-RU"/>
              </w:rPr>
              <w:t>село Сухарево</w:t>
            </w:r>
          </w:p>
        </w:tc>
      </w:tr>
      <w:tr w14:paraId="0DDA50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3819E836">
            <w:pPr>
              <w:widowControl/>
              <w:autoSpaceDE/>
              <w:autoSpaceDN/>
              <w:ind w:right="-20"/>
              <w:jc w:val="center"/>
              <w:rPr>
                <w:b/>
                <w:sz w:val="20"/>
                <w:szCs w:val="20"/>
                <w:lang w:val="ru-RU" w:eastAsia="ru-RU"/>
              </w:rPr>
            </w:pPr>
          </w:p>
        </w:tc>
        <w:tc>
          <w:tcPr>
            <w:tcW w:w="14742" w:type="dxa"/>
            <w:gridSpan w:val="6"/>
          </w:tcPr>
          <w:p w14:paraId="45D34A9B">
            <w:pPr>
              <w:widowControl/>
              <w:autoSpaceDE/>
              <w:autoSpaceDN/>
              <w:ind w:right="-20"/>
              <w:jc w:val="center"/>
              <w:rPr>
                <w:b/>
                <w:sz w:val="20"/>
                <w:szCs w:val="20"/>
                <w:lang w:val="ru-RU" w:eastAsia="ru-RU"/>
              </w:rPr>
            </w:pPr>
            <w:r>
              <w:rPr>
                <w:b/>
                <w:sz w:val="20"/>
                <w:szCs w:val="20"/>
                <w:lang w:val="ru-RU" w:eastAsia="ru-RU"/>
              </w:rPr>
              <w:drawing>
                <wp:inline distT="0" distB="0" distL="0" distR="0">
                  <wp:extent cx="7534910" cy="4407535"/>
                  <wp:effectExtent l="0" t="0" r="0" b="0"/>
                  <wp:docPr id="8" name="Рисунок 8" descr="D:\РАБОТА ГУП\ГЕНПЛАНЫ\ГП ВАЛУЙСКИЕ ВСЕ\СУХАРЕВО\СУХАРЕВО НА ПРОВЕРКУ 23,05,25\Сухарево ЗАПИСК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descr="D:\РАБОТА ГУП\ГЕНПЛАНЫ\ГП ВАЛУЙСКИЕ ВСЕ\СУХАРЕВО\СУХАРЕВО НА ПРОВЕРКУ 23,05,25\Сухарево ЗАПИСКА.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7279876" cy="4258293"/>
                          </a:xfrm>
                          <a:prstGeom prst="rect">
                            <a:avLst/>
                          </a:prstGeom>
                          <a:noFill/>
                          <a:ln>
                            <a:noFill/>
                          </a:ln>
                        </pic:spPr>
                      </pic:pic>
                    </a:graphicData>
                  </a:graphic>
                </wp:inline>
              </w:drawing>
            </w:r>
          </w:p>
          <w:p w14:paraId="3D05C385">
            <w:pPr>
              <w:widowControl/>
              <w:autoSpaceDE/>
              <w:autoSpaceDN/>
              <w:ind w:right="-20"/>
              <w:jc w:val="center"/>
              <w:rPr>
                <w:b/>
                <w:sz w:val="20"/>
                <w:szCs w:val="20"/>
                <w:lang w:val="ru-RU" w:eastAsia="ru-RU"/>
              </w:rPr>
            </w:pPr>
          </w:p>
        </w:tc>
      </w:tr>
      <w:tr w14:paraId="57A74D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67F5AE9B">
            <w:pPr>
              <w:widowControl/>
              <w:autoSpaceDE/>
              <w:autoSpaceDN/>
              <w:jc w:val="center"/>
              <w:rPr>
                <w:sz w:val="20"/>
                <w:szCs w:val="20"/>
                <w:lang w:val="ru-RU" w:eastAsia="ru-RU"/>
              </w:rPr>
            </w:pPr>
            <w:r>
              <w:rPr>
                <w:sz w:val="20"/>
                <w:szCs w:val="20"/>
                <w:lang w:val="ru-RU" w:eastAsia="ru-RU"/>
              </w:rPr>
              <w:t>1</w:t>
            </w:r>
          </w:p>
        </w:tc>
        <w:tc>
          <w:tcPr>
            <w:tcW w:w="5528" w:type="dxa"/>
          </w:tcPr>
          <w:p w14:paraId="32BD019A">
            <w:pPr>
              <w:widowControl/>
              <w:autoSpaceDE/>
              <w:autoSpaceDN/>
              <w:jc w:val="center"/>
              <w:rPr>
                <w:sz w:val="20"/>
                <w:szCs w:val="20"/>
                <w:lang w:val="ru-RU" w:eastAsia="ru-RU"/>
              </w:rPr>
            </w:pPr>
          </w:p>
          <w:p w14:paraId="0BDC6BEC">
            <w:pPr>
              <w:widowControl/>
              <w:autoSpaceDE/>
              <w:autoSpaceDN/>
              <w:jc w:val="center"/>
              <w:rPr>
                <w:sz w:val="20"/>
                <w:szCs w:val="20"/>
                <w:lang w:val="ru-RU" w:eastAsia="ru-RU"/>
              </w:rPr>
            </w:pPr>
            <w:r>
              <w:rPr>
                <w:sz w:val="20"/>
                <w:szCs w:val="20"/>
                <w:lang w:val="ru-RU" w:eastAsia="ru-RU"/>
              </w:rPr>
              <w:drawing>
                <wp:inline distT="0" distB="0" distL="0" distR="0">
                  <wp:extent cx="3373120" cy="2294255"/>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Рисунок 17"/>
                          <pic:cNvPicPr>
                            <a:picLocks noChangeAspect="1"/>
                          </pic:cNvPicPr>
                        </pic:nvPicPr>
                        <pic:blipFill>
                          <a:blip r:embed="rId9"/>
                          <a:stretch>
                            <a:fillRect/>
                          </a:stretch>
                        </pic:blipFill>
                        <pic:spPr>
                          <a:xfrm>
                            <a:off x="0" y="0"/>
                            <a:ext cx="3373120" cy="2294255"/>
                          </a:xfrm>
                          <a:prstGeom prst="rect">
                            <a:avLst/>
                          </a:prstGeom>
                        </pic:spPr>
                      </pic:pic>
                    </a:graphicData>
                  </a:graphic>
                </wp:inline>
              </w:drawing>
            </w:r>
          </w:p>
          <w:p w14:paraId="590343D4">
            <w:pPr>
              <w:widowControl/>
              <w:autoSpaceDE/>
              <w:autoSpaceDN/>
              <w:jc w:val="center"/>
              <w:rPr>
                <w:sz w:val="20"/>
                <w:szCs w:val="20"/>
                <w:lang w:val="ru-RU" w:eastAsia="ru-RU"/>
              </w:rPr>
            </w:pPr>
          </w:p>
        </w:tc>
        <w:tc>
          <w:tcPr>
            <w:tcW w:w="1985" w:type="dxa"/>
            <w:vAlign w:val="center"/>
          </w:tcPr>
          <w:p w14:paraId="6A8F9105">
            <w:pPr>
              <w:widowControl/>
              <w:autoSpaceDE/>
              <w:autoSpaceDN/>
              <w:rPr>
                <w:sz w:val="20"/>
                <w:szCs w:val="20"/>
                <w:lang w:val="ru-RU" w:eastAsia="ru-RU"/>
              </w:rPr>
            </w:pPr>
            <w:r>
              <w:rPr>
                <w:sz w:val="20"/>
                <w:szCs w:val="20"/>
                <w:lang w:val="ru-RU" w:eastAsia="ru-RU"/>
              </w:rPr>
              <w:t>31:26:2204007</w:t>
            </w:r>
          </w:p>
          <w:p w14:paraId="358F0097">
            <w:pPr>
              <w:widowControl/>
              <w:autoSpaceDE/>
              <w:autoSpaceDN/>
              <w:rPr>
                <w:sz w:val="20"/>
                <w:szCs w:val="20"/>
                <w:lang w:val="ru-RU" w:eastAsia="ru-RU"/>
              </w:rPr>
            </w:pPr>
          </w:p>
        </w:tc>
        <w:tc>
          <w:tcPr>
            <w:tcW w:w="992" w:type="dxa"/>
            <w:vAlign w:val="center"/>
          </w:tcPr>
          <w:p w14:paraId="29CE1742">
            <w:pPr>
              <w:widowControl/>
              <w:autoSpaceDE/>
              <w:autoSpaceDN/>
              <w:ind w:firstLine="4"/>
              <w:jc w:val="center"/>
              <w:rPr>
                <w:sz w:val="20"/>
                <w:szCs w:val="20"/>
                <w:lang w:val="ru-RU" w:eastAsia="ru-RU"/>
              </w:rPr>
            </w:pPr>
            <w:r>
              <w:rPr>
                <w:sz w:val="20"/>
                <w:szCs w:val="20"/>
                <w:lang w:val="ru-RU" w:eastAsia="ru-RU"/>
              </w:rPr>
              <w:t>Ориент</w:t>
            </w:r>
          </w:p>
          <w:p w14:paraId="10835815">
            <w:pPr>
              <w:widowControl/>
              <w:autoSpaceDE/>
              <w:autoSpaceDN/>
              <w:ind w:firstLine="4"/>
              <w:jc w:val="center"/>
              <w:rPr>
                <w:sz w:val="20"/>
                <w:szCs w:val="20"/>
                <w:lang w:val="ru-RU" w:eastAsia="ru-RU"/>
              </w:rPr>
            </w:pPr>
            <w:r>
              <w:rPr>
                <w:sz w:val="20"/>
                <w:szCs w:val="20"/>
                <w:lang w:val="ru-RU" w:eastAsia="ru-RU"/>
              </w:rPr>
              <w:t>7826</w:t>
            </w:r>
          </w:p>
        </w:tc>
        <w:tc>
          <w:tcPr>
            <w:tcW w:w="1843" w:type="dxa"/>
            <w:vAlign w:val="center"/>
          </w:tcPr>
          <w:p w14:paraId="3ED92C91">
            <w:pPr>
              <w:widowControl/>
              <w:autoSpaceDE/>
              <w:autoSpaceDN/>
              <w:ind w:firstLine="4"/>
              <w:rPr>
                <w:sz w:val="20"/>
                <w:szCs w:val="20"/>
                <w:lang w:val="ru-RU" w:eastAsia="ru-RU"/>
              </w:rPr>
            </w:pPr>
            <w:r>
              <w:rPr>
                <w:sz w:val="20"/>
                <w:szCs w:val="20"/>
                <w:lang w:val="ru-RU" w:eastAsia="ru-RU"/>
              </w:rPr>
              <w:t>Государственная неразграниченная собственность</w:t>
            </w:r>
          </w:p>
        </w:tc>
        <w:tc>
          <w:tcPr>
            <w:tcW w:w="2410" w:type="dxa"/>
            <w:vAlign w:val="center"/>
          </w:tcPr>
          <w:p w14:paraId="591542B2">
            <w:pPr>
              <w:widowControl/>
              <w:autoSpaceDE/>
              <w:autoSpaceDN/>
              <w:ind w:firstLine="4"/>
              <w:jc w:val="center"/>
              <w:rPr>
                <w:sz w:val="20"/>
                <w:szCs w:val="20"/>
                <w:lang w:val="ru-RU" w:eastAsia="ru-RU"/>
              </w:rPr>
            </w:pPr>
            <w:r>
              <w:rPr>
                <w:sz w:val="20"/>
                <w:szCs w:val="20"/>
                <w:lang w:val="ru-RU" w:eastAsia="ru-RU"/>
              </w:rPr>
              <w:t>-</w:t>
            </w:r>
          </w:p>
        </w:tc>
        <w:tc>
          <w:tcPr>
            <w:tcW w:w="1984" w:type="dxa"/>
            <w:vAlign w:val="center"/>
          </w:tcPr>
          <w:p w14:paraId="6A192799">
            <w:pPr>
              <w:widowControl/>
              <w:autoSpaceDE/>
              <w:autoSpaceDN/>
              <w:rPr>
                <w:sz w:val="20"/>
                <w:szCs w:val="20"/>
                <w:lang w:val="ru-RU" w:eastAsia="ru-RU"/>
              </w:rPr>
            </w:pPr>
            <w:r>
              <w:rPr>
                <w:sz w:val="20"/>
                <w:szCs w:val="20"/>
                <w:lang w:val="ru-RU" w:eastAsia="ru-RU"/>
              </w:rPr>
              <w:t xml:space="preserve">Для индивидуального жилищного строительства  </w:t>
            </w:r>
          </w:p>
        </w:tc>
      </w:tr>
      <w:tr w14:paraId="29AD5C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11897707">
            <w:pPr>
              <w:widowControl/>
              <w:autoSpaceDE/>
              <w:autoSpaceDN/>
              <w:jc w:val="center"/>
              <w:rPr>
                <w:sz w:val="20"/>
                <w:szCs w:val="20"/>
                <w:lang w:val="ru-RU" w:eastAsia="ru-RU"/>
              </w:rPr>
            </w:pPr>
            <w:r>
              <w:rPr>
                <w:sz w:val="20"/>
                <w:szCs w:val="20"/>
                <w:lang w:val="ru-RU" w:eastAsia="ru-RU"/>
              </w:rPr>
              <w:t>2</w:t>
            </w:r>
          </w:p>
        </w:tc>
        <w:tc>
          <w:tcPr>
            <w:tcW w:w="5528" w:type="dxa"/>
          </w:tcPr>
          <w:p w14:paraId="14F47002">
            <w:pPr>
              <w:widowControl/>
              <w:autoSpaceDE/>
              <w:autoSpaceDN/>
              <w:jc w:val="center"/>
              <w:rPr>
                <w:bCs/>
                <w:iCs/>
                <w:color w:val="FF0000"/>
                <w:sz w:val="24"/>
                <w:szCs w:val="24"/>
                <w:lang w:val="ru-RU" w:eastAsia="ru-RU"/>
              </w:rPr>
            </w:pPr>
          </w:p>
          <w:p w14:paraId="295772E1">
            <w:pPr>
              <w:widowControl/>
              <w:autoSpaceDE/>
              <w:autoSpaceDN/>
              <w:jc w:val="center"/>
              <w:rPr>
                <w:bCs/>
                <w:iCs/>
                <w:color w:val="FF0000"/>
                <w:sz w:val="24"/>
                <w:szCs w:val="24"/>
                <w:lang w:val="ru-RU" w:eastAsia="ru-RU"/>
              </w:rPr>
            </w:pPr>
            <w:r>
              <w:rPr>
                <w:bCs/>
                <w:iCs/>
                <w:color w:val="FF0000"/>
                <w:sz w:val="24"/>
                <w:szCs w:val="24"/>
                <w:lang w:val="ru-RU" w:eastAsia="ru-RU"/>
              </w:rPr>
              <w:drawing>
                <wp:inline distT="0" distB="0" distL="0" distR="0">
                  <wp:extent cx="3425825" cy="3262630"/>
                  <wp:effectExtent l="0" t="0" r="3175"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Рисунок 11"/>
                          <pic:cNvPicPr>
                            <a:picLocks noChangeAspect="1"/>
                          </pic:cNvPicPr>
                        </pic:nvPicPr>
                        <pic:blipFill>
                          <a:blip r:embed="rId10"/>
                          <a:srcRect l="-1" r="16434"/>
                          <a:stretch>
                            <a:fillRect/>
                          </a:stretch>
                        </pic:blipFill>
                        <pic:spPr>
                          <a:xfrm>
                            <a:off x="0" y="0"/>
                            <a:ext cx="3500222" cy="3333812"/>
                          </a:xfrm>
                          <a:prstGeom prst="rect">
                            <a:avLst/>
                          </a:prstGeom>
                          <a:ln>
                            <a:noFill/>
                          </a:ln>
                        </pic:spPr>
                      </pic:pic>
                    </a:graphicData>
                  </a:graphic>
                </wp:inline>
              </w:drawing>
            </w:r>
          </w:p>
          <w:p w14:paraId="542C5141">
            <w:pPr>
              <w:widowControl/>
              <w:autoSpaceDE/>
              <w:autoSpaceDN/>
              <w:jc w:val="center"/>
              <w:rPr>
                <w:bCs/>
                <w:iCs/>
                <w:color w:val="FF0000"/>
                <w:sz w:val="24"/>
                <w:szCs w:val="24"/>
                <w:lang w:val="ru-RU" w:eastAsia="ru-RU"/>
              </w:rPr>
            </w:pPr>
          </w:p>
          <w:p w14:paraId="6F8BF539">
            <w:pPr>
              <w:widowControl/>
              <w:autoSpaceDE/>
              <w:autoSpaceDN/>
              <w:jc w:val="center"/>
              <w:rPr>
                <w:bCs/>
                <w:iCs/>
                <w:color w:val="FF0000"/>
                <w:sz w:val="24"/>
                <w:szCs w:val="24"/>
                <w:lang w:val="ru-RU" w:eastAsia="ru-RU"/>
              </w:rPr>
            </w:pPr>
          </w:p>
        </w:tc>
        <w:tc>
          <w:tcPr>
            <w:tcW w:w="1985" w:type="dxa"/>
            <w:vAlign w:val="center"/>
          </w:tcPr>
          <w:p w14:paraId="2E9E2D29">
            <w:pPr>
              <w:widowControl/>
              <w:autoSpaceDE/>
              <w:autoSpaceDN/>
              <w:rPr>
                <w:sz w:val="20"/>
                <w:szCs w:val="20"/>
                <w:lang w:val="ru-RU" w:eastAsia="ru-RU"/>
              </w:rPr>
            </w:pPr>
            <w:r>
              <w:rPr>
                <w:sz w:val="20"/>
                <w:szCs w:val="20"/>
                <w:lang w:val="ru-RU" w:eastAsia="ru-RU"/>
              </w:rPr>
              <w:t>31:26:2204007:132</w:t>
            </w:r>
          </w:p>
        </w:tc>
        <w:tc>
          <w:tcPr>
            <w:tcW w:w="992" w:type="dxa"/>
            <w:vAlign w:val="center"/>
          </w:tcPr>
          <w:p w14:paraId="4866972A">
            <w:pPr>
              <w:widowControl/>
              <w:autoSpaceDE/>
              <w:autoSpaceDN/>
              <w:ind w:firstLine="4"/>
              <w:jc w:val="center"/>
              <w:rPr>
                <w:sz w:val="20"/>
                <w:szCs w:val="20"/>
                <w:lang w:val="ru-RU" w:eastAsia="ru-RU"/>
              </w:rPr>
            </w:pPr>
            <w:r>
              <w:rPr>
                <w:sz w:val="20"/>
                <w:szCs w:val="20"/>
                <w:lang w:val="ru-RU" w:eastAsia="ru-RU"/>
              </w:rPr>
              <w:t>1568</w:t>
            </w:r>
          </w:p>
        </w:tc>
        <w:tc>
          <w:tcPr>
            <w:tcW w:w="1843" w:type="dxa"/>
            <w:vAlign w:val="center"/>
          </w:tcPr>
          <w:p w14:paraId="2EEDB387">
            <w:pPr>
              <w:widowControl/>
              <w:autoSpaceDE/>
              <w:autoSpaceDN/>
              <w:ind w:firstLine="4"/>
              <w:rPr>
                <w:sz w:val="20"/>
                <w:szCs w:val="20"/>
                <w:lang w:val="ru-RU" w:eastAsia="ru-RU"/>
              </w:rPr>
            </w:pPr>
            <w:r>
              <w:rPr>
                <w:sz w:val="20"/>
                <w:szCs w:val="20"/>
                <w:lang w:val="ru-RU" w:eastAsia="ru-RU"/>
              </w:rPr>
              <w:t>Скотоводство</w:t>
            </w:r>
          </w:p>
        </w:tc>
        <w:tc>
          <w:tcPr>
            <w:tcW w:w="2410" w:type="dxa"/>
            <w:vAlign w:val="center"/>
          </w:tcPr>
          <w:p w14:paraId="78A7E19E">
            <w:pPr>
              <w:widowControl/>
              <w:autoSpaceDE/>
              <w:autoSpaceDN/>
              <w:rPr>
                <w:sz w:val="20"/>
                <w:szCs w:val="20"/>
                <w:lang w:val="ru-RU" w:eastAsia="ru-RU"/>
              </w:rPr>
            </w:pPr>
            <w:r>
              <w:rPr>
                <w:sz w:val="20"/>
                <w:szCs w:val="20"/>
                <w:lang w:val="ru-RU" w:eastAsia="ru-RU"/>
              </w:rPr>
              <w:t>Земли сельскохозяйственного назначения</w:t>
            </w:r>
          </w:p>
        </w:tc>
        <w:tc>
          <w:tcPr>
            <w:tcW w:w="1984" w:type="dxa"/>
            <w:vAlign w:val="center"/>
          </w:tcPr>
          <w:p w14:paraId="5AB99AA0">
            <w:pPr>
              <w:widowControl/>
              <w:autoSpaceDE/>
              <w:autoSpaceDN/>
              <w:rPr>
                <w:sz w:val="20"/>
                <w:szCs w:val="20"/>
                <w:lang w:val="ru-RU" w:eastAsia="ru-RU"/>
              </w:rPr>
            </w:pPr>
            <w:r>
              <w:rPr>
                <w:sz w:val="20"/>
                <w:szCs w:val="20"/>
                <w:lang w:val="ru-RU" w:eastAsia="ru-RU"/>
              </w:rPr>
              <w:t>Иные рекреационные зоны</w:t>
            </w:r>
          </w:p>
        </w:tc>
      </w:tr>
      <w:tr w14:paraId="46846D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07F9FE81">
            <w:pPr>
              <w:widowControl/>
              <w:autoSpaceDE/>
              <w:autoSpaceDN/>
              <w:jc w:val="center"/>
              <w:rPr>
                <w:sz w:val="20"/>
                <w:szCs w:val="20"/>
                <w:lang w:val="ru-RU" w:eastAsia="ru-RU"/>
              </w:rPr>
            </w:pPr>
            <w:r>
              <w:rPr>
                <w:sz w:val="20"/>
                <w:szCs w:val="20"/>
                <w:lang w:val="ru-RU" w:eastAsia="ru-RU"/>
              </w:rPr>
              <w:t>3</w:t>
            </w:r>
          </w:p>
        </w:tc>
        <w:tc>
          <w:tcPr>
            <w:tcW w:w="5528" w:type="dxa"/>
          </w:tcPr>
          <w:p w14:paraId="1008D4B1">
            <w:pPr>
              <w:widowControl/>
              <w:autoSpaceDE/>
              <w:autoSpaceDN/>
              <w:jc w:val="center"/>
              <w:rPr>
                <w:bCs/>
                <w:iCs/>
                <w:color w:val="FF0000"/>
                <w:sz w:val="24"/>
                <w:szCs w:val="24"/>
                <w:lang w:val="ru-RU" w:eastAsia="ru-RU"/>
              </w:rPr>
            </w:pPr>
          </w:p>
          <w:p w14:paraId="1E750F2D">
            <w:pPr>
              <w:widowControl/>
              <w:autoSpaceDE/>
              <w:autoSpaceDN/>
              <w:jc w:val="center"/>
              <w:rPr>
                <w:bCs/>
                <w:iCs/>
                <w:color w:val="FF0000"/>
                <w:sz w:val="24"/>
                <w:szCs w:val="24"/>
                <w:lang w:val="ru-RU" w:eastAsia="ru-RU"/>
              </w:rPr>
            </w:pPr>
          </w:p>
          <w:p w14:paraId="50A3E488">
            <w:pPr>
              <w:widowControl/>
              <w:autoSpaceDE/>
              <w:autoSpaceDN/>
              <w:jc w:val="center"/>
              <w:rPr>
                <w:bCs/>
                <w:iCs/>
                <w:color w:val="FF0000"/>
                <w:sz w:val="24"/>
                <w:szCs w:val="24"/>
                <w:lang w:val="ru-RU" w:eastAsia="ru-RU"/>
              </w:rPr>
            </w:pPr>
            <w:r>
              <w:rPr>
                <w:bCs/>
                <w:iCs/>
                <w:color w:val="FF0000"/>
                <w:sz w:val="24"/>
                <w:szCs w:val="24"/>
                <w:lang w:val="ru-RU" w:eastAsia="ru-RU"/>
              </w:rPr>
              <w:drawing>
                <wp:inline distT="0" distB="0" distL="0" distR="0">
                  <wp:extent cx="3373120" cy="4393565"/>
                  <wp:effectExtent l="0" t="0" r="0" b="698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Рисунок 18"/>
                          <pic:cNvPicPr>
                            <a:picLocks noChangeAspect="1"/>
                          </pic:cNvPicPr>
                        </pic:nvPicPr>
                        <pic:blipFill>
                          <a:blip r:embed="rId11"/>
                          <a:stretch>
                            <a:fillRect/>
                          </a:stretch>
                        </pic:blipFill>
                        <pic:spPr>
                          <a:xfrm>
                            <a:off x="0" y="0"/>
                            <a:ext cx="3374141" cy="4394895"/>
                          </a:xfrm>
                          <a:prstGeom prst="rect">
                            <a:avLst/>
                          </a:prstGeom>
                        </pic:spPr>
                      </pic:pic>
                    </a:graphicData>
                  </a:graphic>
                </wp:inline>
              </w:drawing>
            </w:r>
          </w:p>
          <w:p w14:paraId="65FA8D7C">
            <w:pPr>
              <w:widowControl/>
              <w:autoSpaceDE/>
              <w:autoSpaceDN/>
              <w:jc w:val="center"/>
              <w:rPr>
                <w:bCs/>
                <w:iCs/>
                <w:color w:val="FF0000"/>
                <w:sz w:val="24"/>
                <w:szCs w:val="24"/>
                <w:lang w:val="ru-RU" w:eastAsia="ru-RU"/>
              </w:rPr>
            </w:pPr>
          </w:p>
          <w:p w14:paraId="1C5E45FB">
            <w:pPr>
              <w:widowControl/>
              <w:autoSpaceDE/>
              <w:autoSpaceDN/>
              <w:jc w:val="center"/>
              <w:rPr>
                <w:bCs/>
                <w:iCs/>
                <w:color w:val="FF0000"/>
                <w:sz w:val="24"/>
                <w:szCs w:val="24"/>
                <w:lang w:val="ru-RU" w:eastAsia="ru-RU"/>
              </w:rPr>
            </w:pPr>
          </w:p>
          <w:p w14:paraId="2CCB2952">
            <w:pPr>
              <w:widowControl/>
              <w:autoSpaceDE/>
              <w:autoSpaceDN/>
              <w:jc w:val="center"/>
              <w:rPr>
                <w:bCs/>
                <w:iCs/>
                <w:color w:val="FF0000"/>
                <w:sz w:val="24"/>
                <w:szCs w:val="24"/>
                <w:lang w:val="ru-RU" w:eastAsia="ru-RU"/>
              </w:rPr>
            </w:pPr>
          </w:p>
          <w:p w14:paraId="4B560DA8">
            <w:pPr>
              <w:widowControl/>
              <w:autoSpaceDE/>
              <w:autoSpaceDN/>
              <w:jc w:val="center"/>
              <w:rPr>
                <w:bCs/>
                <w:iCs/>
                <w:color w:val="FF0000"/>
                <w:sz w:val="24"/>
                <w:szCs w:val="24"/>
                <w:lang w:val="ru-RU" w:eastAsia="ru-RU"/>
              </w:rPr>
            </w:pPr>
          </w:p>
          <w:p w14:paraId="64D79EB5">
            <w:pPr>
              <w:widowControl/>
              <w:autoSpaceDE/>
              <w:autoSpaceDN/>
              <w:jc w:val="center"/>
              <w:rPr>
                <w:bCs/>
                <w:iCs/>
                <w:color w:val="FF0000"/>
                <w:sz w:val="24"/>
                <w:szCs w:val="24"/>
                <w:lang w:val="ru-RU" w:eastAsia="ru-RU"/>
              </w:rPr>
            </w:pPr>
          </w:p>
          <w:p w14:paraId="29090D5B">
            <w:pPr>
              <w:widowControl/>
              <w:autoSpaceDE/>
              <w:autoSpaceDN/>
              <w:jc w:val="center"/>
              <w:rPr>
                <w:bCs/>
                <w:iCs/>
                <w:color w:val="FF0000"/>
                <w:sz w:val="24"/>
                <w:szCs w:val="24"/>
                <w:lang w:val="ru-RU" w:eastAsia="ru-RU"/>
              </w:rPr>
            </w:pPr>
          </w:p>
          <w:p w14:paraId="7DAF2E90">
            <w:pPr>
              <w:widowControl/>
              <w:autoSpaceDE/>
              <w:autoSpaceDN/>
              <w:jc w:val="center"/>
              <w:rPr>
                <w:bCs/>
                <w:iCs/>
                <w:color w:val="FF0000"/>
                <w:sz w:val="24"/>
                <w:szCs w:val="24"/>
                <w:lang w:val="ru-RU" w:eastAsia="ru-RU"/>
              </w:rPr>
            </w:pPr>
          </w:p>
          <w:p w14:paraId="74113FAC">
            <w:pPr>
              <w:widowControl/>
              <w:autoSpaceDE/>
              <w:autoSpaceDN/>
              <w:jc w:val="center"/>
              <w:rPr>
                <w:bCs/>
                <w:iCs/>
                <w:color w:val="FF0000"/>
                <w:sz w:val="24"/>
                <w:szCs w:val="24"/>
                <w:lang w:val="ru-RU" w:eastAsia="ru-RU"/>
              </w:rPr>
            </w:pPr>
          </w:p>
          <w:p w14:paraId="0947B749">
            <w:pPr>
              <w:widowControl/>
              <w:autoSpaceDE/>
              <w:autoSpaceDN/>
              <w:jc w:val="center"/>
              <w:rPr>
                <w:bCs/>
                <w:iCs/>
                <w:color w:val="FF0000"/>
                <w:sz w:val="24"/>
                <w:szCs w:val="24"/>
                <w:lang w:val="ru-RU" w:eastAsia="ru-RU"/>
              </w:rPr>
            </w:pPr>
          </w:p>
        </w:tc>
        <w:tc>
          <w:tcPr>
            <w:tcW w:w="1985" w:type="dxa"/>
            <w:vAlign w:val="center"/>
          </w:tcPr>
          <w:p w14:paraId="44FDBE22">
            <w:pPr>
              <w:widowControl/>
              <w:autoSpaceDE/>
              <w:autoSpaceDN/>
              <w:rPr>
                <w:sz w:val="20"/>
                <w:szCs w:val="20"/>
                <w:lang w:val="ru-RU" w:eastAsia="ru-RU"/>
              </w:rPr>
            </w:pPr>
            <w:r>
              <w:rPr>
                <w:sz w:val="20"/>
                <w:szCs w:val="20"/>
                <w:lang w:val="ru-RU" w:eastAsia="ru-RU"/>
              </w:rPr>
              <w:t>31:26:0000000:1250(26)</w:t>
            </w:r>
          </w:p>
        </w:tc>
        <w:tc>
          <w:tcPr>
            <w:tcW w:w="992" w:type="dxa"/>
            <w:vAlign w:val="center"/>
          </w:tcPr>
          <w:p w14:paraId="0F8396DD">
            <w:pPr>
              <w:widowControl/>
              <w:autoSpaceDE/>
              <w:autoSpaceDN/>
              <w:ind w:firstLine="4"/>
              <w:jc w:val="center"/>
              <w:rPr>
                <w:sz w:val="20"/>
                <w:szCs w:val="20"/>
                <w:lang w:val="ru-RU" w:eastAsia="ru-RU"/>
              </w:rPr>
            </w:pPr>
            <w:r>
              <w:rPr>
                <w:sz w:val="20"/>
                <w:szCs w:val="20"/>
                <w:lang w:val="ru-RU" w:eastAsia="ru-RU"/>
              </w:rPr>
              <w:t>140099</w:t>
            </w:r>
          </w:p>
        </w:tc>
        <w:tc>
          <w:tcPr>
            <w:tcW w:w="1843" w:type="dxa"/>
            <w:vAlign w:val="center"/>
          </w:tcPr>
          <w:p w14:paraId="4F3E93AF">
            <w:pPr>
              <w:widowControl/>
              <w:autoSpaceDE/>
              <w:autoSpaceDN/>
              <w:ind w:firstLine="4"/>
              <w:rPr>
                <w:sz w:val="20"/>
                <w:szCs w:val="20"/>
                <w:lang w:val="ru-RU" w:eastAsia="ru-RU"/>
              </w:rPr>
            </w:pPr>
            <w:r>
              <w:rPr>
                <w:sz w:val="20"/>
                <w:szCs w:val="20"/>
                <w:lang w:val="ru-RU" w:eastAsia="ru-RU"/>
              </w:rPr>
              <w:t>Для сельскохозяйственного производства</w:t>
            </w:r>
          </w:p>
        </w:tc>
        <w:tc>
          <w:tcPr>
            <w:tcW w:w="2410" w:type="dxa"/>
            <w:vAlign w:val="center"/>
          </w:tcPr>
          <w:p w14:paraId="0B0AA631">
            <w:pPr>
              <w:widowControl/>
              <w:autoSpaceDE/>
              <w:autoSpaceDN/>
              <w:rPr>
                <w:sz w:val="20"/>
                <w:szCs w:val="20"/>
                <w:lang w:val="ru-RU" w:eastAsia="ru-RU"/>
              </w:rPr>
            </w:pPr>
            <w:r>
              <w:rPr>
                <w:sz w:val="20"/>
                <w:szCs w:val="20"/>
                <w:lang w:val="ru-RU" w:eastAsia="ru-RU"/>
              </w:rPr>
              <w:t>Земли сельскохозяйственного назначения</w:t>
            </w:r>
          </w:p>
        </w:tc>
        <w:tc>
          <w:tcPr>
            <w:tcW w:w="1984" w:type="dxa"/>
            <w:vAlign w:val="center"/>
          </w:tcPr>
          <w:p w14:paraId="1A97D770">
            <w:pPr>
              <w:widowControl/>
              <w:autoSpaceDE/>
              <w:autoSpaceDN/>
              <w:rPr>
                <w:sz w:val="20"/>
                <w:szCs w:val="20"/>
                <w:lang w:val="ru-RU" w:eastAsia="ru-RU"/>
              </w:rPr>
            </w:pPr>
            <w:r>
              <w:rPr>
                <w:sz w:val="20"/>
                <w:szCs w:val="20"/>
                <w:lang w:val="ru-RU" w:eastAsia="ru-RU"/>
              </w:rPr>
              <w:t>Иные рекреационные зоны</w:t>
            </w:r>
          </w:p>
        </w:tc>
      </w:tr>
      <w:tr w14:paraId="049437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218894A0">
            <w:pPr>
              <w:widowControl/>
              <w:autoSpaceDE/>
              <w:autoSpaceDN/>
              <w:jc w:val="center"/>
              <w:rPr>
                <w:sz w:val="20"/>
                <w:szCs w:val="20"/>
                <w:lang w:val="ru-RU" w:eastAsia="ru-RU"/>
              </w:rPr>
            </w:pPr>
            <w:r>
              <w:rPr>
                <w:sz w:val="20"/>
                <w:szCs w:val="20"/>
                <w:lang w:val="ru-RU" w:eastAsia="ru-RU"/>
              </w:rPr>
              <w:t>4</w:t>
            </w:r>
          </w:p>
        </w:tc>
        <w:tc>
          <w:tcPr>
            <w:tcW w:w="5528" w:type="dxa"/>
          </w:tcPr>
          <w:p w14:paraId="0F212CC5">
            <w:pPr>
              <w:widowControl/>
              <w:autoSpaceDE/>
              <w:autoSpaceDN/>
              <w:jc w:val="center"/>
              <w:rPr>
                <w:bCs/>
                <w:iCs/>
                <w:color w:val="FF0000"/>
                <w:sz w:val="24"/>
                <w:szCs w:val="24"/>
                <w:lang w:val="ru-RU" w:eastAsia="ru-RU"/>
              </w:rPr>
            </w:pPr>
          </w:p>
          <w:p w14:paraId="1BB2E858">
            <w:pPr>
              <w:widowControl/>
              <w:autoSpaceDE/>
              <w:autoSpaceDN/>
              <w:jc w:val="center"/>
              <w:rPr>
                <w:bCs/>
                <w:iCs/>
                <w:color w:val="FF0000"/>
                <w:sz w:val="24"/>
                <w:szCs w:val="24"/>
                <w:lang w:val="ru-RU" w:eastAsia="ru-RU"/>
              </w:rPr>
            </w:pPr>
            <w:r>
              <w:rPr>
                <w:bCs/>
                <w:iCs/>
                <w:color w:val="FF0000"/>
                <w:sz w:val="24"/>
                <w:szCs w:val="24"/>
                <w:lang w:val="ru-RU" w:eastAsia="ru-RU"/>
              </w:rPr>
              <w:drawing>
                <wp:inline distT="0" distB="0" distL="0" distR="0">
                  <wp:extent cx="3203575" cy="2474595"/>
                  <wp:effectExtent l="0" t="0" r="0" b="190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Рисунок 12"/>
                          <pic:cNvPicPr>
                            <a:picLocks noChangeAspect="1"/>
                          </pic:cNvPicPr>
                        </pic:nvPicPr>
                        <pic:blipFill>
                          <a:blip r:embed="rId12"/>
                          <a:stretch>
                            <a:fillRect/>
                          </a:stretch>
                        </pic:blipFill>
                        <pic:spPr>
                          <a:xfrm>
                            <a:off x="0" y="0"/>
                            <a:ext cx="3206247" cy="2476512"/>
                          </a:xfrm>
                          <a:prstGeom prst="rect">
                            <a:avLst/>
                          </a:prstGeom>
                        </pic:spPr>
                      </pic:pic>
                    </a:graphicData>
                  </a:graphic>
                </wp:inline>
              </w:drawing>
            </w:r>
          </w:p>
          <w:p w14:paraId="12DDBC3F">
            <w:pPr>
              <w:widowControl/>
              <w:autoSpaceDE/>
              <w:autoSpaceDN/>
              <w:jc w:val="center"/>
              <w:rPr>
                <w:bCs/>
                <w:iCs/>
                <w:color w:val="FF0000"/>
                <w:sz w:val="24"/>
                <w:szCs w:val="24"/>
                <w:lang w:val="ru-RU" w:eastAsia="ru-RU"/>
              </w:rPr>
            </w:pPr>
          </w:p>
          <w:p w14:paraId="3633E070">
            <w:pPr>
              <w:widowControl/>
              <w:autoSpaceDE/>
              <w:autoSpaceDN/>
              <w:jc w:val="center"/>
              <w:rPr>
                <w:bCs/>
                <w:iCs/>
                <w:color w:val="FF0000"/>
                <w:sz w:val="24"/>
                <w:szCs w:val="24"/>
                <w:lang w:val="ru-RU" w:eastAsia="ru-RU"/>
              </w:rPr>
            </w:pPr>
          </w:p>
        </w:tc>
        <w:tc>
          <w:tcPr>
            <w:tcW w:w="1985" w:type="dxa"/>
            <w:vAlign w:val="center"/>
          </w:tcPr>
          <w:p w14:paraId="0682CDB6">
            <w:pPr>
              <w:widowControl/>
              <w:autoSpaceDE/>
              <w:autoSpaceDN/>
              <w:rPr>
                <w:sz w:val="20"/>
                <w:szCs w:val="20"/>
                <w:lang w:val="ru-RU" w:eastAsia="ru-RU"/>
              </w:rPr>
            </w:pPr>
            <w:r>
              <w:rPr>
                <w:sz w:val="20"/>
                <w:szCs w:val="20"/>
                <w:lang w:val="ru-RU" w:eastAsia="ru-RU"/>
              </w:rPr>
              <w:t>31:26:2204007:21</w:t>
            </w:r>
          </w:p>
        </w:tc>
        <w:tc>
          <w:tcPr>
            <w:tcW w:w="992" w:type="dxa"/>
            <w:vAlign w:val="center"/>
          </w:tcPr>
          <w:p w14:paraId="407AB353">
            <w:pPr>
              <w:widowControl/>
              <w:autoSpaceDE/>
              <w:autoSpaceDN/>
              <w:ind w:firstLine="4"/>
              <w:jc w:val="center"/>
              <w:rPr>
                <w:sz w:val="20"/>
                <w:szCs w:val="20"/>
                <w:lang w:val="ru-RU" w:eastAsia="ru-RU"/>
              </w:rPr>
            </w:pPr>
            <w:r>
              <w:rPr>
                <w:sz w:val="20"/>
                <w:szCs w:val="20"/>
                <w:lang w:val="ru-RU" w:eastAsia="ru-RU"/>
              </w:rPr>
              <w:t>1070</w:t>
            </w:r>
          </w:p>
        </w:tc>
        <w:tc>
          <w:tcPr>
            <w:tcW w:w="1843" w:type="dxa"/>
            <w:vAlign w:val="center"/>
          </w:tcPr>
          <w:p w14:paraId="56145DC2">
            <w:pPr>
              <w:widowControl/>
              <w:autoSpaceDE/>
              <w:autoSpaceDN/>
              <w:ind w:firstLine="4"/>
              <w:rPr>
                <w:sz w:val="20"/>
                <w:szCs w:val="20"/>
                <w:lang w:val="ru-RU" w:eastAsia="ru-RU"/>
              </w:rPr>
            </w:pPr>
            <w:r>
              <w:rPr>
                <w:sz w:val="20"/>
                <w:szCs w:val="20"/>
                <w:lang w:val="ru-RU" w:eastAsia="ru-RU"/>
              </w:rPr>
              <w:t>для садоводства</w:t>
            </w:r>
          </w:p>
        </w:tc>
        <w:tc>
          <w:tcPr>
            <w:tcW w:w="2410" w:type="dxa"/>
            <w:vAlign w:val="center"/>
          </w:tcPr>
          <w:p w14:paraId="0758B90C">
            <w:pPr>
              <w:widowControl/>
              <w:autoSpaceDE/>
              <w:autoSpaceDN/>
              <w:rPr>
                <w:sz w:val="20"/>
                <w:szCs w:val="20"/>
                <w:lang w:val="ru-RU" w:eastAsia="ru-RU"/>
              </w:rPr>
            </w:pPr>
            <w:r>
              <w:rPr>
                <w:sz w:val="20"/>
                <w:szCs w:val="20"/>
                <w:lang w:val="ru-RU" w:eastAsia="ru-RU"/>
              </w:rPr>
              <w:t>Земли сельскохозяйственного назначения</w:t>
            </w:r>
          </w:p>
        </w:tc>
        <w:tc>
          <w:tcPr>
            <w:tcW w:w="1984" w:type="dxa"/>
            <w:vAlign w:val="center"/>
          </w:tcPr>
          <w:p w14:paraId="00FA52C3">
            <w:pPr>
              <w:widowControl/>
              <w:autoSpaceDE/>
              <w:autoSpaceDN/>
              <w:rPr>
                <w:sz w:val="20"/>
                <w:szCs w:val="20"/>
                <w:lang w:val="ru-RU" w:eastAsia="ru-RU"/>
              </w:rPr>
            </w:pPr>
            <w:r>
              <w:rPr>
                <w:sz w:val="20"/>
                <w:szCs w:val="20"/>
                <w:lang w:val="ru-RU" w:eastAsia="ru-RU"/>
              </w:rPr>
              <w:t>Иные рекреационные зоны</w:t>
            </w:r>
          </w:p>
        </w:tc>
      </w:tr>
      <w:tr w14:paraId="3552A6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0F1F743D">
            <w:pPr>
              <w:widowControl/>
              <w:autoSpaceDE/>
              <w:autoSpaceDN/>
              <w:jc w:val="center"/>
              <w:rPr>
                <w:sz w:val="20"/>
                <w:szCs w:val="20"/>
                <w:lang w:val="ru-RU" w:eastAsia="ru-RU"/>
              </w:rPr>
            </w:pPr>
            <w:r>
              <w:rPr>
                <w:sz w:val="20"/>
                <w:szCs w:val="20"/>
                <w:lang w:val="ru-RU" w:eastAsia="ru-RU"/>
              </w:rPr>
              <w:t>6</w:t>
            </w:r>
          </w:p>
        </w:tc>
        <w:tc>
          <w:tcPr>
            <w:tcW w:w="5528" w:type="dxa"/>
          </w:tcPr>
          <w:p w14:paraId="553EE3CE">
            <w:pPr>
              <w:widowControl/>
              <w:autoSpaceDE/>
              <w:autoSpaceDN/>
              <w:jc w:val="center"/>
              <w:rPr>
                <w:bCs/>
                <w:iCs/>
                <w:color w:val="FF0000"/>
                <w:sz w:val="24"/>
                <w:szCs w:val="24"/>
                <w:lang w:val="ru-RU" w:eastAsia="ru-RU"/>
              </w:rPr>
            </w:pPr>
          </w:p>
          <w:p w14:paraId="3B3965AF">
            <w:pPr>
              <w:widowControl/>
              <w:autoSpaceDE/>
              <w:autoSpaceDN/>
              <w:jc w:val="center"/>
              <w:rPr>
                <w:bCs/>
                <w:iCs/>
                <w:color w:val="FF0000"/>
                <w:sz w:val="24"/>
                <w:szCs w:val="24"/>
                <w:lang w:val="ru-RU" w:eastAsia="ru-RU"/>
              </w:rPr>
            </w:pPr>
            <w:r>
              <w:rPr>
                <w:bCs/>
                <w:iCs/>
                <w:color w:val="FF0000"/>
                <w:sz w:val="24"/>
                <w:szCs w:val="24"/>
                <w:lang w:val="ru-RU" w:eastAsia="ru-RU"/>
              </w:rPr>
              <w:drawing>
                <wp:inline distT="0" distB="0" distL="0" distR="0">
                  <wp:extent cx="3373120" cy="2869565"/>
                  <wp:effectExtent l="0" t="0" r="0" b="698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Рисунок 13"/>
                          <pic:cNvPicPr>
                            <a:picLocks noChangeAspect="1"/>
                          </pic:cNvPicPr>
                        </pic:nvPicPr>
                        <pic:blipFill>
                          <a:blip r:embed="rId13"/>
                          <a:stretch>
                            <a:fillRect/>
                          </a:stretch>
                        </pic:blipFill>
                        <pic:spPr>
                          <a:xfrm>
                            <a:off x="0" y="0"/>
                            <a:ext cx="3373120" cy="2869565"/>
                          </a:xfrm>
                          <a:prstGeom prst="rect">
                            <a:avLst/>
                          </a:prstGeom>
                        </pic:spPr>
                      </pic:pic>
                    </a:graphicData>
                  </a:graphic>
                </wp:inline>
              </w:drawing>
            </w:r>
          </w:p>
          <w:p w14:paraId="32A7D67D">
            <w:pPr>
              <w:widowControl/>
              <w:autoSpaceDE/>
              <w:autoSpaceDN/>
              <w:jc w:val="center"/>
              <w:rPr>
                <w:bCs/>
                <w:iCs/>
                <w:color w:val="FF0000"/>
                <w:sz w:val="24"/>
                <w:szCs w:val="24"/>
                <w:lang w:val="ru-RU" w:eastAsia="ru-RU"/>
              </w:rPr>
            </w:pPr>
          </w:p>
          <w:p w14:paraId="5BA5ACB4">
            <w:pPr>
              <w:widowControl/>
              <w:autoSpaceDE/>
              <w:autoSpaceDN/>
              <w:jc w:val="center"/>
              <w:rPr>
                <w:bCs/>
                <w:iCs/>
                <w:color w:val="FF0000"/>
                <w:sz w:val="24"/>
                <w:szCs w:val="24"/>
                <w:lang w:val="ru-RU" w:eastAsia="ru-RU"/>
              </w:rPr>
            </w:pPr>
          </w:p>
        </w:tc>
        <w:tc>
          <w:tcPr>
            <w:tcW w:w="1985" w:type="dxa"/>
            <w:vAlign w:val="center"/>
          </w:tcPr>
          <w:p w14:paraId="0404D38B">
            <w:pPr>
              <w:widowControl/>
              <w:autoSpaceDE/>
              <w:autoSpaceDN/>
              <w:rPr>
                <w:sz w:val="20"/>
                <w:szCs w:val="20"/>
                <w:lang w:val="ru-RU" w:eastAsia="ru-RU"/>
              </w:rPr>
            </w:pPr>
            <w:r>
              <w:rPr>
                <w:sz w:val="20"/>
                <w:szCs w:val="20"/>
                <w:lang w:val="ru-RU" w:eastAsia="ru-RU"/>
              </w:rPr>
              <w:t>31:26:2204007:7</w:t>
            </w:r>
          </w:p>
        </w:tc>
        <w:tc>
          <w:tcPr>
            <w:tcW w:w="992" w:type="dxa"/>
            <w:vAlign w:val="center"/>
          </w:tcPr>
          <w:p w14:paraId="7F27076D">
            <w:pPr>
              <w:widowControl/>
              <w:autoSpaceDE/>
              <w:autoSpaceDN/>
              <w:ind w:firstLine="4"/>
              <w:jc w:val="center"/>
              <w:rPr>
                <w:sz w:val="20"/>
                <w:szCs w:val="20"/>
                <w:lang w:val="ru-RU" w:eastAsia="ru-RU"/>
              </w:rPr>
            </w:pPr>
            <w:r>
              <w:rPr>
                <w:sz w:val="20"/>
                <w:szCs w:val="20"/>
                <w:lang w:val="ru-RU" w:eastAsia="ru-RU"/>
              </w:rPr>
              <w:t>49373</w:t>
            </w:r>
          </w:p>
        </w:tc>
        <w:tc>
          <w:tcPr>
            <w:tcW w:w="1843" w:type="dxa"/>
            <w:vAlign w:val="center"/>
          </w:tcPr>
          <w:p w14:paraId="48DC4E5D">
            <w:pPr>
              <w:widowControl/>
              <w:autoSpaceDE/>
              <w:autoSpaceDN/>
              <w:ind w:firstLine="4"/>
              <w:rPr>
                <w:sz w:val="20"/>
                <w:szCs w:val="20"/>
                <w:lang w:val="ru-RU" w:eastAsia="ru-RU"/>
              </w:rPr>
            </w:pPr>
            <w:r>
              <w:rPr>
                <w:sz w:val="20"/>
                <w:szCs w:val="20"/>
                <w:lang w:val="ru-RU" w:eastAsia="ru-RU"/>
              </w:rPr>
              <w:t>Для сельскохозяйственного производства</w:t>
            </w:r>
          </w:p>
        </w:tc>
        <w:tc>
          <w:tcPr>
            <w:tcW w:w="2410" w:type="dxa"/>
            <w:vAlign w:val="center"/>
          </w:tcPr>
          <w:p w14:paraId="6A6458D8">
            <w:pPr>
              <w:widowControl/>
              <w:autoSpaceDE/>
              <w:autoSpaceDN/>
              <w:rPr>
                <w:sz w:val="20"/>
                <w:szCs w:val="20"/>
                <w:lang w:val="ru-RU" w:eastAsia="ru-RU"/>
              </w:rPr>
            </w:pPr>
            <w:r>
              <w:rPr>
                <w:sz w:val="20"/>
                <w:szCs w:val="20"/>
                <w:lang w:val="ru-RU" w:eastAsia="ru-RU"/>
              </w:rPr>
              <w:t>Земли сельскохозяйственного назначения</w:t>
            </w:r>
          </w:p>
        </w:tc>
        <w:tc>
          <w:tcPr>
            <w:tcW w:w="1984" w:type="dxa"/>
            <w:vAlign w:val="center"/>
          </w:tcPr>
          <w:p w14:paraId="0172C5FD">
            <w:pPr>
              <w:widowControl/>
              <w:autoSpaceDE/>
              <w:autoSpaceDN/>
              <w:rPr>
                <w:sz w:val="20"/>
                <w:szCs w:val="20"/>
                <w:lang w:val="ru-RU" w:eastAsia="ru-RU"/>
              </w:rPr>
            </w:pPr>
            <w:r>
              <w:rPr>
                <w:sz w:val="20"/>
                <w:szCs w:val="20"/>
                <w:lang w:val="ru-RU" w:eastAsia="ru-RU"/>
              </w:rPr>
              <w:t>Иные рекреационные зоны</w:t>
            </w:r>
          </w:p>
        </w:tc>
      </w:tr>
      <w:tr w14:paraId="019B43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2EDEDCAE">
            <w:pPr>
              <w:widowControl/>
              <w:autoSpaceDE/>
              <w:autoSpaceDN/>
              <w:jc w:val="center"/>
              <w:rPr>
                <w:sz w:val="20"/>
                <w:szCs w:val="20"/>
                <w:lang w:val="ru-RU" w:eastAsia="ru-RU"/>
              </w:rPr>
            </w:pPr>
            <w:r>
              <w:rPr>
                <w:sz w:val="20"/>
                <w:szCs w:val="20"/>
                <w:lang w:val="ru-RU" w:eastAsia="ru-RU"/>
              </w:rPr>
              <w:t>7</w:t>
            </w:r>
          </w:p>
        </w:tc>
        <w:tc>
          <w:tcPr>
            <w:tcW w:w="5528" w:type="dxa"/>
          </w:tcPr>
          <w:p w14:paraId="5D3F72ED">
            <w:pPr>
              <w:widowControl/>
              <w:autoSpaceDE/>
              <w:autoSpaceDN/>
              <w:jc w:val="center"/>
              <w:rPr>
                <w:bCs/>
                <w:iCs/>
                <w:color w:val="FF0000"/>
                <w:sz w:val="24"/>
                <w:szCs w:val="24"/>
                <w:lang w:val="ru-RU" w:eastAsia="ru-RU"/>
              </w:rPr>
            </w:pPr>
          </w:p>
          <w:p w14:paraId="1E9E2886">
            <w:pPr>
              <w:widowControl/>
              <w:autoSpaceDE/>
              <w:autoSpaceDN/>
              <w:jc w:val="center"/>
              <w:rPr>
                <w:bCs/>
                <w:iCs/>
                <w:color w:val="FF0000"/>
                <w:sz w:val="24"/>
                <w:szCs w:val="24"/>
                <w:lang w:val="ru-RU" w:eastAsia="ru-RU"/>
              </w:rPr>
            </w:pPr>
            <w:r>
              <w:rPr>
                <w:bCs/>
                <w:iCs/>
                <w:color w:val="FF0000"/>
                <w:sz w:val="24"/>
                <w:szCs w:val="24"/>
                <w:lang w:val="ru-RU" w:eastAsia="ru-RU"/>
              </w:rPr>
              <w:drawing>
                <wp:inline distT="0" distB="0" distL="0" distR="0">
                  <wp:extent cx="3429635" cy="213868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Рисунок 9"/>
                          <pic:cNvPicPr>
                            <a:picLocks noChangeAspect="1"/>
                          </pic:cNvPicPr>
                        </pic:nvPicPr>
                        <pic:blipFill>
                          <a:blip r:embed="rId14"/>
                          <a:stretch>
                            <a:fillRect/>
                          </a:stretch>
                        </pic:blipFill>
                        <pic:spPr>
                          <a:xfrm>
                            <a:off x="0" y="0"/>
                            <a:ext cx="3435738" cy="2142809"/>
                          </a:xfrm>
                          <a:prstGeom prst="rect">
                            <a:avLst/>
                          </a:prstGeom>
                        </pic:spPr>
                      </pic:pic>
                    </a:graphicData>
                  </a:graphic>
                </wp:inline>
              </w:drawing>
            </w:r>
          </w:p>
          <w:p w14:paraId="28DB6EEC">
            <w:pPr>
              <w:widowControl/>
              <w:autoSpaceDE/>
              <w:autoSpaceDN/>
              <w:jc w:val="center"/>
              <w:rPr>
                <w:bCs/>
                <w:iCs/>
                <w:color w:val="FF0000"/>
                <w:sz w:val="24"/>
                <w:szCs w:val="24"/>
                <w:lang w:val="ru-RU" w:eastAsia="ru-RU"/>
              </w:rPr>
            </w:pPr>
          </w:p>
        </w:tc>
        <w:tc>
          <w:tcPr>
            <w:tcW w:w="1985" w:type="dxa"/>
            <w:vAlign w:val="center"/>
          </w:tcPr>
          <w:p w14:paraId="16D461E3">
            <w:pPr>
              <w:widowControl/>
              <w:autoSpaceDE/>
              <w:autoSpaceDN/>
              <w:rPr>
                <w:sz w:val="20"/>
                <w:szCs w:val="20"/>
                <w:lang w:val="ru-RU" w:eastAsia="ru-RU"/>
              </w:rPr>
            </w:pPr>
            <w:r>
              <w:rPr>
                <w:sz w:val="20"/>
                <w:szCs w:val="20"/>
                <w:lang w:val="ru-RU" w:eastAsia="ru-RU"/>
              </w:rPr>
              <w:t>31:26:2203001</w:t>
            </w:r>
          </w:p>
          <w:p w14:paraId="3F6789A7">
            <w:pPr>
              <w:widowControl/>
              <w:autoSpaceDE/>
              <w:autoSpaceDN/>
              <w:rPr>
                <w:sz w:val="20"/>
                <w:szCs w:val="20"/>
                <w:lang w:val="ru-RU" w:eastAsia="ru-RU"/>
              </w:rPr>
            </w:pPr>
            <w:r>
              <w:rPr>
                <w:sz w:val="20"/>
                <w:szCs w:val="20"/>
                <w:lang w:val="ru-RU" w:eastAsia="ru-RU"/>
              </w:rPr>
              <w:t>31:26:2203002</w:t>
            </w:r>
          </w:p>
          <w:p w14:paraId="5EAECE18">
            <w:pPr>
              <w:widowControl/>
              <w:autoSpaceDE/>
              <w:autoSpaceDN/>
              <w:rPr>
                <w:sz w:val="20"/>
                <w:szCs w:val="20"/>
                <w:lang w:val="ru-RU" w:eastAsia="ru-RU"/>
              </w:rPr>
            </w:pPr>
            <w:r>
              <w:rPr>
                <w:sz w:val="20"/>
                <w:szCs w:val="20"/>
                <w:lang w:val="ru-RU" w:eastAsia="ru-RU"/>
              </w:rPr>
              <w:t>31:26:2203003</w:t>
            </w:r>
          </w:p>
          <w:p w14:paraId="4D8DCFEA">
            <w:pPr>
              <w:widowControl/>
              <w:autoSpaceDE/>
              <w:autoSpaceDN/>
              <w:rPr>
                <w:sz w:val="20"/>
                <w:szCs w:val="20"/>
                <w:lang w:val="ru-RU" w:eastAsia="ru-RU"/>
              </w:rPr>
            </w:pPr>
            <w:r>
              <w:rPr>
                <w:sz w:val="20"/>
                <w:szCs w:val="20"/>
                <w:lang w:val="ru-RU" w:eastAsia="ru-RU"/>
              </w:rPr>
              <w:t>31:26:2203004</w:t>
            </w:r>
          </w:p>
          <w:p w14:paraId="7516C2A5">
            <w:pPr>
              <w:widowControl/>
              <w:autoSpaceDE/>
              <w:autoSpaceDN/>
              <w:rPr>
                <w:sz w:val="20"/>
                <w:szCs w:val="20"/>
                <w:lang w:val="ru-RU" w:eastAsia="ru-RU"/>
              </w:rPr>
            </w:pPr>
            <w:r>
              <w:rPr>
                <w:sz w:val="20"/>
                <w:szCs w:val="20"/>
                <w:lang w:val="ru-RU" w:eastAsia="ru-RU"/>
              </w:rPr>
              <w:t>31:26:2204006</w:t>
            </w:r>
          </w:p>
          <w:p w14:paraId="4248D129">
            <w:pPr>
              <w:widowControl/>
              <w:autoSpaceDE/>
              <w:autoSpaceDN/>
              <w:rPr>
                <w:sz w:val="20"/>
                <w:szCs w:val="20"/>
                <w:lang w:val="ru-RU" w:eastAsia="ru-RU"/>
              </w:rPr>
            </w:pPr>
            <w:r>
              <w:rPr>
                <w:sz w:val="20"/>
                <w:szCs w:val="20"/>
                <w:lang w:val="ru-RU" w:eastAsia="ru-RU"/>
              </w:rPr>
              <w:t>31:26:2204007</w:t>
            </w:r>
          </w:p>
          <w:p w14:paraId="400FB34E">
            <w:pPr>
              <w:widowControl/>
              <w:autoSpaceDE/>
              <w:autoSpaceDN/>
              <w:rPr>
                <w:sz w:val="20"/>
                <w:szCs w:val="20"/>
                <w:lang w:val="ru-RU" w:eastAsia="ru-RU"/>
              </w:rPr>
            </w:pPr>
            <w:r>
              <w:rPr>
                <w:sz w:val="20"/>
                <w:szCs w:val="20"/>
                <w:lang w:val="ru-RU" w:eastAsia="ru-RU"/>
              </w:rPr>
              <w:t>31:26:2202008</w:t>
            </w:r>
          </w:p>
          <w:p w14:paraId="63508EF0">
            <w:pPr>
              <w:widowControl/>
              <w:autoSpaceDE/>
              <w:autoSpaceDN/>
              <w:rPr>
                <w:sz w:val="20"/>
                <w:szCs w:val="20"/>
                <w:lang w:val="ru-RU" w:eastAsia="ru-RU"/>
              </w:rPr>
            </w:pPr>
          </w:p>
          <w:p w14:paraId="3B096195">
            <w:pPr>
              <w:widowControl/>
              <w:autoSpaceDE/>
              <w:autoSpaceDN/>
              <w:rPr>
                <w:sz w:val="20"/>
                <w:szCs w:val="20"/>
                <w:lang w:val="ru-RU" w:eastAsia="ru-RU"/>
              </w:rPr>
            </w:pPr>
          </w:p>
          <w:p w14:paraId="247728C9">
            <w:pPr>
              <w:widowControl/>
              <w:autoSpaceDE/>
              <w:autoSpaceDN/>
              <w:rPr>
                <w:sz w:val="20"/>
                <w:szCs w:val="20"/>
                <w:lang w:val="ru-RU" w:eastAsia="ru-RU"/>
              </w:rPr>
            </w:pPr>
          </w:p>
        </w:tc>
        <w:tc>
          <w:tcPr>
            <w:tcW w:w="992" w:type="dxa"/>
            <w:vAlign w:val="center"/>
          </w:tcPr>
          <w:p w14:paraId="46FF95B5">
            <w:pPr>
              <w:widowControl/>
              <w:autoSpaceDE/>
              <w:autoSpaceDN/>
              <w:ind w:firstLine="4"/>
              <w:jc w:val="center"/>
              <w:rPr>
                <w:sz w:val="20"/>
                <w:szCs w:val="20"/>
                <w:lang w:val="ru-RU" w:eastAsia="ru-RU"/>
              </w:rPr>
            </w:pPr>
            <w:r>
              <w:rPr>
                <w:sz w:val="20"/>
                <w:szCs w:val="20"/>
                <w:lang w:val="ru-RU" w:eastAsia="ru-RU"/>
              </w:rPr>
              <w:t>726450</w:t>
            </w:r>
          </w:p>
        </w:tc>
        <w:tc>
          <w:tcPr>
            <w:tcW w:w="1843" w:type="dxa"/>
            <w:vAlign w:val="center"/>
          </w:tcPr>
          <w:p w14:paraId="5C6C7B2D">
            <w:pPr>
              <w:widowControl/>
              <w:autoSpaceDE/>
              <w:autoSpaceDN/>
              <w:ind w:firstLine="4"/>
              <w:rPr>
                <w:sz w:val="20"/>
                <w:szCs w:val="20"/>
                <w:lang w:val="ru-RU" w:eastAsia="ru-RU"/>
              </w:rPr>
            </w:pPr>
            <w:r>
              <w:rPr>
                <w:sz w:val="20"/>
                <w:szCs w:val="20"/>
                <w:lang w:val="ru-RU" w:eastAsia="ru-RU"/>
              </w:rPr>
              <w:t>Государственная неразграниченная собственность</w:t>
            </w:r>
          </w:p>
        </w:tc>
        <w:tc>
          <w:tcPr>
            <w:tcW w:w="2410" w:type="dxa"/>
            <w:vAlign w:val="center"/>
          </w:tcPr>
          <w:p w14:paraId="52910A50">
            <w:pPr>
              <w:widowControl/>
              <w:autoSpaceDE/>
              <w:autoSpaceDN/>
              <w:ind w:firstLine="4"/>
              <w:jc w:val="center"/>
              <w:rPr>
                <w:sz w:val="20"/>
                <w:szCs w:val="20"/>
                <w:lang w:val="ru-RU" w:eastAsia="ru-RU"/>
              </w:rPr>
            </w:pPr>
            <w:r>
              <w:rPr>
                <w:sz w:val="20"/>
                <w:szCs w:val="20"/>
                <w:lang w:val="ru-RU" w:eastAsia="ru-RU"/>
              </w:rPr>
              <w:t>-</w:t>
            </w:r>
          </w:p>
        </w:tc>
        <w:tc>
          <w:tcPr>
            <w:tcW w:w="1984" w:type="dxa"/>
            <w:vAlign w:val="center"/>
          </w:tcPr>
          <w:p w14:paraId="17D96571">
            <w:pPr>
              <w:widowControl/>
              <w:autoSpaceDE/>
              <w:autoSpaceDN/>
              <w:rPr>
                <w:sz w:val="20"/>
                <w:szCs w:val="20"/>
                <w:lang w:val="ru-RU" w:eastAsia="ru-RU"/>
              </w:rPr>
            </w:pPr>
            <w:r>
              <w:rPr>
                <w:sz w:val="20"/>
                <w:szCs w:val="20"/>
                <w:lang w:val="ru-RU" w:eastAsia="ru-RU"/>
              </w:rPr>
              <w:t>Иные рекреационные зоны</w:t>
            </w:r>
          </w:p>
        </w:tc>
      </w:tr>
      <w:tr w14:paraId="2A4E8A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67718004">
            <w:pPr>
              <w:widowControl/>
              <w:autoSpaceDE/>
              <w:autoSpaceDN/>
              <w:rPr>
                <w:b/>
                <w:sz w:val="18"/>
                <w:szCs w:val="18"/>
                <w:lang w:val="ru-RU" w:eastAsia="ru-RU"/>
              </w:rPr>
            </w:pPr>
          </w:p>
        </w:tc>
        <w:tc>
          <w:tcPr>
            <w:tcW w:w="14742" w:type="dxa"/>
            <w:gridSpan w:val="6"/>
          </w:tcPr>
          <w:p w14:paraId="0DE4612E">
            <w:pPr>
              <w:widowControl/>
              <w:autoSpaceDE/>
              <w:autoSpaceDN/>
              <w:rPr>
                <w:sz w:val="20"/>
                <w:szCs w:val="20"/>
                <w:lang w:val="ru-RU" w:eastAsia="ru-RU"/>
              </w:rPr>
            </w:pPr>
            <w:r>
              <w:rPr>
                <w:b/>
                <w:sz w:val="18"/>
                <w:szCs w:val="18"/>
                <w:lang w:val="ru-RU" w:eastAsia="ru-RU"/>
              </w:rPr>
              <w:t>Итого по с. Сухарево                                                                                                                                  926386 м</w:t>
            </w:r>
            <w:r>
              <w:rPr>
                <w:b/>
                <w:sz w:val="18"/>
                <w:szCs w:val="18"/>
                <w:vertAlign w:val="superscript"/>
                <w:lang w:val="ru-RU" w:eastAsia="ru-RU"/>
              </w:rPr>
              <w:t>2</w:t>
            </w:r>
          </w:p>
        </w:tc>
      </w:tr>
      <w:tr w14:paraId="039638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dxa"/>
          </w:tcPr>
          <w:p w14:paraId="097925F4">
            <w:pPr>
              <w:widowControl/>
              <w:autoSpaceDE/>
              <w:autoSpaceDN/>
              <w:rPr>
                <w:b/>
                <w:sz w:val="18"/>
                <w:szCs w:val="18"/>
                <w:lang w:val="ru-RU" w:eastAsia="ru-RU"/>
              </w:rPr>
            </w:pPr>
          </w:p>
        </w:tc>
        <w:tc>
          <w:tcPr>
            <w:tcW w:w="14742" w:type="dxa"/>
            <w:gridSpan w:val="6"/>
          </w:tcPr>
          <w:p w14:paraId="09A52AF9">
            <w:pPr>
              <w:widowControl/>
              <w:autoSpaceDE/>
              <w:autoSpaceDN/>
              <w:rPr>
                <w:sz w:val="20"/>
                <w:szCs w:val="20"/>
                <w:lang w:val="ru-RU" w:eastAsia="ru-RU"/>
              </w:rPr>
            </w:pPr>
            <w:r>
              <w:rPr>
                <w:b/>
                <w:sz w:val="18"/>
                <w:szCs w:val="18"/>
                <w:lang w:val="ru-RU" w:eastAsia="ru-RU"/>
              </w:rPr>
              <w:t>ПЛОЩАДЬ НАСЕЛЕННОГО ПУНКТА В НОВЫХ ГРАНИЦАХ                                                  1,85 км</w:t>
            </w:r>
            <w:r>
              <w:rPr>
                <w:b/>
                <w:sz w:val="18"/>
                <w:szCs w:val="18"/>
                <w:vertAlign w:val="superscript"/>
                <w:lang w:val="ru-RU" w:eastAsia="ru-RU"/>
              </w:rPr>
              <w:t xml:space="preserve">2 </w:t>
            </w:r>
            <w:r>
              <w:rPr>
                <w:b/>
                <w:sz w:val="18"/>
                <w:szCs w:val="18"/>
                <w:lang w:val="ru-RU" w:eastAsia="ru-RU"/>
              </w:rPr>
              <w:t xml:space="preserve">                                                                                                                  </w:t>
            </w:r>
          </w:p>
        </w:tc>
      </w:tr>
    </w:tbl>
    <w:p w14:paraId="2748F9B5">
      <w:pPr>
        <w:rPr>
          <w:sz w:val="20"/>
          <w:szCs w:val="20"/>
          <w:lang w:val="ru-RU"/>
        </w:rPr>
      </w:pPr>
    </w:p>
    <w:p w14:paraId="298A2050">
      <w:pPr>
        <w:rPr>
          <w:sz w:val="20"/>
          <w:szCs w:val="20"/>
          <w:lang w:val="ru-RU"/>
        </w:rPr>
      </w:pPr>
    </w:p>
    <w:p w14:paraId="76082927">
      <w:pPr>
        <w:shd w:val="clear" w:color="auto" w:fill="FFFFFF"/>
        <w:spacing w:line="276" w:lineRule="auto"/>
        <w:jc w:val="both"/>
        <w:rPr>
          <w:color w:val="000000"/>
          <w:sz w:val="28"/>
          <w:lang w:val="ru-RU"/>
        </w:rPr>
      </w:pPr>
    </w:p>
    <w:p w14:paraId="6634D91A">
      <w:pPr>
        <w:spacing w:line="276" w:lineRule="auto"/>
        <w:contextualSpacing/>
        <w:rPr>
          <w:color w:val="FF0000"/>
          <w:sz w:val="28"/>
          <w:szCs w:val="28"/>
          <w:lang w:val="ru-RU"/>
        </w:rPr>
        <w:sectPr>
          <w:pgSz w:w="16840" w:h="11900" w:orient="landscape"/>
          <w:pgMar w:top="568" w:right="862" w:bottom="499" w:left="993" w:header="0" w:footer="998" w:gutter="0"/>
          <w:cols w:space="720" w:num="1"/>
        </w:sectPr>
      </w:pPr>
    </w:p>
    <w:p w14:paraId="7E5B9C3A">
      <w:pPr>
        <w:pStyle w:val="2"/>
        <w:numPr>
          <w:ilvl w:val="0"/>
          <w:numId w:val="2"/>
        </w:numPr>
        <w:tabs>
          <w:tab w:val="left" w:pos="966"/>
        </w:tabs>
        <w:ind w:left="284" w:right="114" w:firstLine="566"/>
        <w:jc w:val="both"/>
        <w:rPr>
          <w:lang w:val="ru-RU"/>
        </w:rPr>
      </w:pPr>
      <w:bookmarkStart w:id="24" w:name="_Toc198723412"/>
      <w:r>
        <w:rPr>
          <w:lang w:val="ru-RU"/>
        </w:rPr>
        <w:t>Сведения об утвержденных предметах охраны на территории муниципального округа.</w:t>
      </w:r>
      <w:bookmarkEnd w:id="24"/>
    </w:p>
    <w:p w14:paraId="6FB4B79C">
      <w:pPr>
        <w:spacing w:line="276" w:lineRule="auto"/>
        <w:ind w:firstLine="567"/>
        <w:contextualSpacing/>
        <w:jc w:val="both"/>
        <w:rPr>
          <w:sz w:val="28"/>
          <w:szCs w:val="28"/>
          <w:lang w:val="ru-RU"/>
        </w:rPr>
      </w:pPr>
      <w:bookmarkStart w:id="25" w:name="sub_3001"/>
    </w:p>
    <w:p w14:paraId="4E81F2E1">
      <w:pPr>
        <w:spacing w:line="276" w:lineRule="auto"/>
        <w:ind w:firstLine="567"/>
        <w:contextualSpacing/>
        <w:jc w:val="both"/>
        <w:rPr>
          <w:sz w:val="28"/>
          <w:szCs w:val="28"/>
          <w:lang w:val="ru-RU"/>
        </w:rPr>
      </w:pPr>
      <w:r>
        <w:rPr>
          <w:sz w:val="28"/>
          <w:szCs w:val="28"/>
          <w:lang w:val="ru-RU"/>
        </w:rPr>
        <w:t xml:space="preserve">К </w:t>
      </w:r>
      <w:r>
        <w:rPr>
          <w:b/>
          <w:sz w:val="28"/>
          <w:szCs w:val="28"/>
          <w:lang w:val="ru-RU"/>
        </w:rPr>
        <w:t>объектам культурного наследия (памятникам истории и культуры) народов Российской Федерации</w:t>
      </w:r>
      <w:r>
        <w:rPr>
          <w:sz w:val="28"/>
          <w:szCs w:val="28"/>
          <w:lang w:val="ru-RU"/>
        </w:rPr>
        <w:t xml:space="preserve">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14:paraId="665E2809">
      <w:pPr>
        <w:spacing w:line="276" w:lineRule="auto"/>
        <w:ind w:firstLine="567"/>
        <w:contextualSpacing/>
        <w:jc w:val="both"/>
        <w:rPr>
          <w:sz w:val="28"/>
          <w:szCs w:val="28"/>
          <w:lang w:val="ru-RU"/>
        </w:rPr>
      </w:pPr>
      <w:bookmarkStart w:id="26" w:name="sub_3020"/>
      <w:r>
        <w:rPr>
          <w:sz w:val="28"/>
          <w:szCs w:val="28"/>
          <w:lang w:val="ru-RU"/>
        </w:rPr>
        <w:t xml:space="preserve">Под </w:t>
      </w:r>
      <w:r>
        <w:rPr>
          <w:b/>
          <w:sz w:val="28"/>
          <w:szCs w:val="28"/>
          <w:lang w:val="ru-RU"/>
        </w:rPr>
        <w:t>объектом археологического наследия</w:t>
      </w:r>
      <w:r>
        <w:rPr>
          <w:sz w:val="28"/>
          <w:szCs w:val="28"/>
          <w:lang w:val="ru-RU"/>
        </w:rPr>
        <w:t xml:space="preserve"> понимаются частично или полностью скрытые в земле или под водой следы существования человека в прошлых эпохах (включая все связанные с такими следами археологические предметы и культурные слои), основным или одним из основных источников информации о которых являются археологические раскопки или находки. Объектами археологического наследия являются, в том числе городища, курганы, грунтовые могильники, древние погребения, селища, стоянки, каменные изваяния, стелы, наскальные изображения, остатки древних укреплений, производств, каналов, судов, дорог, места совершения древних религиозных обрядов, отнесенные к объектам археологического наследия культурные слои.</w:t>
      </w:r>
    </w:p>
    <w:bookmarkEnd w:id="26"/>
    <w:p w14:paraId="2BF9F104">
      <w:pPr>
        <w:spacing w:line="276" w:lineRule="auto"/>
        <w:ind w:firstLine="567"/>
        <w:contextualSpacing/>
        <w:jc w:val="both"/>
        <w:rPr>
          <w:sz w:val="28"/>
          <w:szCs w:val="28"/>
          <w:lang w:val="ru-RU"/>
        </w:rPr>
      </w:pPr>
      <w:bookmarkStart w:id="27" w:name="sub_3030"/>
      <w:r>
        <w:rPr>
          <w:sz w:val="28"/>
          <w:szCs w:val="28"/>
          <w:lang w:val="ru-RU"/>
        </w:rPr>
        <w:t xml:space="preserve">Под </w:t>
      </w:r>
      <w:r>
        <w:rPr>
          <w:b/>
          <w:sz w:val="28"/>
          <w:szCs w:val="28"/>
          <w:lang w:val="ru-RU"/>
        </w:rPr>
        <w:t>археологическими предметами</w:t>
      </w:r>
      <w:r>
        <w:rPr>
          <w:sz w:val="28"/>
          <w:szCs w:val="28"/>
          <w:lang w:val="ru-RU"/>
        </w:rPr>
        <w:t xml:space="preserve"> понимаются движимые вещи, основным или одним из основных источников информации о которых независимо от обстоятельств их обнаружения являются археологические раскопки или находки, в том числе предметы, обнаруженные в результате таких раскопок или находок.</w:t>
      </w:r>
    </w:p>
    <w:bookmarkEnd w:id="27"/>
    <w:p w14:paraId="5E02A818">
      <w:pPr>
        <w:spacing w:line="276" w:lineRule="auto"/>
        <w:ind w:firstLine="567"/>
        <w:contextualSpacing/>
        <w:jc w:val="both"/>
        <w:rPr>
          <w:sz w:val="28"/>
          <w:szCs w:val="28"/>
          <w:lang w:val="ru-RU"/>
        </w:rPr>
      </w:pPr>
      <w:bookmarkStart w:id="28" w:name="sub_3040"/>
      <w:r>
        <w:rPr>
          <w:sz w:val="28"/>
          <w:szCs w:val="28"/>
          <w:lang w:val="ru-RU"/>
        </w:rPr>
        <w:t xml:space="preserve">Под </w:t>
      </w:r>
      <w:r>
        <w:rPr>
          <w:b/>
          <w:sz w:val="28"/>
          <w:szCs w:val="28"/>
          <w:lang w:val="ru-RU"/>
        </w:rPr>
        <w:t>культурным слоем</w:t>
      </w:r>
      <w:r>
        <w:rPr>
          <w:sz w:val="28"/>
          <w:szCs w:val="28"/>
          <w:lang w:val="ru-RU"/>
        </w:rPr>
        <w:t xml:space="preserve"> понимается слой в земле или под водой, содержащий следы существования человека, время возникновения которых превышает сто лет, включающий археологические предметы.</w:t>
      </w:r>
    </w:p>
    <w:bookmarkEnd w:id="28"/>
    <w:p w14:paraId="5354D97D">
      <w:pPr>
        <w:spacing w:line="276" w:lineRule="auto"/>
        <w:ind w:firstLine="567"/>
        <w:contextualSpacing/>
        <w:jc w:val="both"/>
        <w:rPr>
          <w:sz w:val="28"/>
          <w:szCs w:val="28"/>
          <w:lang w:val="ru-RU"/>
        </w:rPr>
      </w:pPr>
      <w:bookmarkStart w:id="29" w:name="sub_3002"/>
      <w:r>
        <w:rPr>
          <w:sz w:val="28"/>
          <w:szCs w:val="28"/>
          <w:lang w:val="ru-RU"/>
        </w:rPr>
        <w:t>Объекты культурного наследия подразделяются на следующие виды:</w:t>
      </w:r>
    </w:p>
    <w:bookmarkEnd w:id="29"/>
    <w:p w14:paraId="29E6B81A">
      <w:pPr>
        <w:spacing w:line="276" w:lineRule="auto"/>
        <w:ind w:firstLine="567"/>
        <w:contextualSpacing/>
        <w:jc w:val="both"/>
        <w:rPr>
          <w:sz w:val="28"/>
          <w:szCs w:val="28"/>
          <w:lang w:val="ru-RU"/>
        </w:rPr>
      </w:pPr>
      <w:bookmarkStart w:id="30" w:name="sub_301"/>
      <w:r>
        <w:rPr>
          <w:b/>
          <w:sz w:val="28"/>
          <w:szCs w:val="28"/>
          <w:lang w:val="ru-RU"/>
        </w:rPr>
        <w:t>памятники</w:t>
      </w:r>
      <w:r>
        <w:rPr>
          <w:sz w:val="28"/>
          <w:szCs w:val="28"/>
          <w:lang w:val="ru-RU"/>
        </w:rPr>
        <w:t xml:space="preserve"> - отдельные постройки, здания и сооружения с исторически сложившимися территориями (в том числе памятники религиозного назначения); мемориальные квартиры; мавзолеи, отдельные захоронения; произведения монументального искусства; объекты науки и техники, включая военные; объекты археологического наследия;</w:t>
      </w:r>
    </w:p>
    <w:bookmarkEnd w:id="30"/>
    <w:p w14:paraId="5DA78B53">
      <w:pPr>
        <w:spacing w:line="276" w:lineRule="auto"/>
        <w:ind w:firstLine="567"/>
        <w:contextualSpacing/>
        <w:jc w:val="both"/>
        <w:rPr>
          <w:sz w:val="28"/>
          <w:szCs w:val="28"/>
          <w:lang w:val="ru-RU"/>
        </w:rPr>
      </w:pPr>
      <w:bookmarkStart w:id="31" w:name="sub_302"/>
      <w:r>
        <w:rPr>
          <w:b/>
          <w:sz w:val="28"/>
          <w:szCs w:val="28"/>
          <w:lang w:val="ru-RU"/>
        </w:rPr>
        <w:t>ансамбли</w:t>
      </w:r>
      <w:r>
        <w:rPr>
          <w:sz w:val="28"/>
          <w:szCs w:val="28"/>
          <w:lang w:val="ru-RU"/>
        </w:rPr>
        <w:t xml:space="preserve"> - четко локализуемые на исторически сложившихся территориях группы изолированных или объединенных памятников, строений и сооружений фортификационного, дворцового, жилого, общественного, административного, торгового, производственного, научного, учебного назначения, а также памятников и сооружений религиозного назначения, в том числе фрагменты исторических планировок и застроек поселений, которые могут быть отнесены к градостроительным ансамблям; произведения ландшафтной архитектуры и садово-паркового искусства (сады, парки, скверы, бульвары), некрополи; объекты археологического наследия;</w:t>
      </w:r>
    </w:p>
    <w:bookmarkEnd w:id="31"/>
    <w:p w14:paraId="19DBCF12">
      <w:pPr>
        <w:spacing w:line="276" w:lineRule="auto"/>
        <w:ind w:firstLine="567"/>
        <w:contextualSpacing/>
        <w:jc w:val="both"/>
        <w:rPr>
          <w:sz w:val="28"/>
          <w:szCs w:val="28"/>
          <w:lang w:val="ru-RU"/>
        </w:rPr>
      </w:pPr>
      <w:bookmarkStart w:id="32" w:name="sub_303"/>
      <w:r>
        <w:rPr>
          <w:b/>
          <w:sz w:val="28"/>
          <w:szCs w:val="28"/>
          <w:lang w:val="ru-RU"/>
        </w:rPr>
        <w:t>достопримечательные места</w:t>
      </w:r>
      <w:r>
        <w:rPr>
          <w:sz w:val="28"/>
          <w:szCs w:val="28"/>
          <w:lang w:val="ru-RU"/>
        </w:rPr>
        <w:t xml:space="preserve"> - творения, созданные человеком, или совместные творения человека и природы, в том числе места традиционного бытования народных художественных промыслов; центры исторических поселений или фрагменты градостроительной планировки и застройки; памятные места, культурные и природные ландшафты, связанные с историей формирования народов и иных этнических общностей на территории Российской Федерации, историческими (в том числе военными) событиями, жизнью выдающихся исторических личностей; объекты археологического наследия; места совершения религиозных обрядов, места захоронений жертв массовых репрессий; религиозно-исторические места.</w:t>
      </w:r>
    </w:p>
    <w:bookmarkEnd w:id="32"/>
    <w:p w14:paraId="46D9E902">
      <w:pPr>
        <w:spacing w:line="276" w:lineRule="auto"/>
        <w:ind w:firstLine="567"/>
        <w:contextualSpacing/>
        <w:jc w:val="both"/>
        <w:rPr>
          <w:sz w:val="28"/>
          <w:szCs w:val="28"/>
          <w:lang w:val="ru-RU"/>
        </w:rPr>
      </w:pPr>
      <w:r>
        <w:rPr>
          <w:sz w:val="28"/>
          <w:szCs w:val="28"/>
          <w:lang w:val="ru-RU"/>
        </w:rPr>
        <w:t>На территории Валуйского муниципального округа около 500 памятников истории и культуры, представляющие собой уникальную ценность и находящиеся под охраной государства, 279 из которых являются объектами культурного наследия (памятники истории и культуры): 22 памятника истории и архитектуры, 43 памятника воинской славы и воинских захоронений, 4 памятника искусства, 210 памятников археологии, а также около 200 выявленных объектов культурного наследия и объектов, обладающих признаками объектов культурного наследия-памятников археологии, истории и архитектуры.</w:t>
      </w:r>
    </w:p>
    <w:p w14:paraId="470379D6">
      <w:pPr>
        <w:spacing w:line="276" w:lineRule="auto"/>
        <w:ind w:firstLine="567"/>
        <w:contextualSpacing/>
        <w:jc w:val="both"/>
        <w:rPr>
          <w:sz w:val="28"/>
          <w:szCs w:val="28"/>
          <w:lang w:val="ru-RU"/>
        </w:rPr>
      </w:pPr>
    </w:p>
    <w:p w14:paraId="00BCA85C">
      <w:pPr>
        <w:spacing w:line="276" w:lineRule="auto"/>
        <w:ind w:firstLine="567"/>
        <w:contextualSpacing/>
        <w:jc w:val="both"/>
        <w:rPr>
          <w:sz w:val="28"/>
          <w:szCs w:val="28"/>
          <w:lang w:val="ru-RU"/>
        </w:rPr>
      </w:pPr>
    </w:p>
    <w:bookmarkEnd w:id="25"/>
    <w:p w14:paraId="76D4597D">
      <w:pPr>
        <w:spacing w:line="276" w:lineRule="auto"/>
        <w:ind w:firstLine="567"/>
        <w:contextualSpacing/>
        <w:rPr>
          <w:sz w:val="28"/>
          <w:szCs w:val="28"/>
          <w:lang w:val="ru-RU"/>
        </w:rPr>
      </w:pPr>
      <w:r>
        <w:rPr>
          <w:sz w:val="28"/>
          <w:szCs w:val="28"/>
          <w:lang w:val="ru-RU"/>
        </w:rPr>
        <w:t>На территории села Сухарево нет объектов культурного наследия, стоящих на государственной охране.</w:t>
      </w:r>
    </w:p>
    <w:p w14:paraId="6A910663">
      <w:pPr>
        <w:spacing w:line="276" w:lineRule="auto"/>
        <w:ind w:firstLine="567"/>
        <w:contextualSpacing/>
        <w:rPr>
          <w:sz w:val="28"/>
          <w:szCs w:val="28"/>
          <w:lang w:val="ru-RU"/>
        </w:rPr>
      </w:pPr>
    </w:p>
    <w:p w14:paraId="2C8C23E6">
      <w:pPr>
        <w:pStyle w:val="164"/>
        <w:ind w:left="0" w:firstLine="0"/>
        <w:rPr>
          <w:rStyle w:val="163"/>
          <w:rFonts w:ascii="Times New Roman" w:hAnsi="Times New Roman" w:cs="Times New Roman" w:eastAsiaTheme="majorEastAsia"/>
          <w:color w:val="auto"/>
          <w:sz w:val="28"/>
          <w:szCs w:val="28"/>
        </w:rPr>
      </w:pPr>
    </w:p>
    <w:p w14:paraId="40AB566F">
      <w:pPr>
        <w:pStyle w:val="164"/>
        <w:ind w:left="0" w:firstLine="0"/>
        <w:rPr>
          <w:rFonts w:ascii="Times New Roman" w:hAnsi="Times New Roman" w:cs="Times New Roman"/>
          <w:sz w:val="28"/>
          <w:szCs w:val="28"/>
        </w:rPr>
      </w:pPr>
      <w:r>
        <w:rPr>
          <w:rStyle w:val="163"/>
          <w:rFonts w:ascii="Times New Roman" w:hAnsi="Times New Roman" w:cs="Times New Roman" w:eastAsiaTheme="majorEastAsia"/>
          <w:color w:val="auto"/>
          <w:sz w:val="28"/>
          <w:szCs w:val="28"/>
        </w:rPr>
        <w:t>Требования к осуществлению деятельности в границах территории объекта культурного наследия и особый режим использования земельных участков, в границах которых располагаются объекты археологического наследия</w:t>
      </w:r>
    </w:p>
    <w:p w14:paraId="3CA58BF5">
      <w:pPr>
        <w:pStyle w:val="30"/>
        <w:spacing w:line="276" w:lineRule="auto"/>
        <w:ind w:left="115" w:right="114" w:firstLine="720"/>
        <w:jc w:val="both"/>
        <w:rPr>
          <w:lang w:val="ru-RU"/>
        </w:rPr>
      </w:pPr>
    </w:p>
    <w:p w14:paraId="5EBF66AE">
      <w:pPr>
        <w:pStyle w:val="30"/>
        <w:spacing w:line="276" w:lineRule="auto"/>
        <w:ind w:left="115" w:right="114" w:firstLine="720"/>
        <w:jc w:val="both"/>
        <w:rPr>
          <w:lang w:val="ru-RU"/>
        </w:rPr>
      </w:pPr>
      <w:r>
        <w:rPr>
          <w:lang w:val="ru-RU"/>
        </w:rPr>
        <w:t>В границах территории объекта культурного наследия:</w:t>
      </w:r>
    </w:p>
    <w:p w14:paraId="401C6BD7">
      <w:pPr>
        <w:pStyle w:val="30"/>
        <w:spacing w:line="276" w:lineRule="auto"/>
        <w:ind w:left="115" w:right="114" w:firstLine="720"/>
        <w:jc w:val="both"/>
        <w:rPr>
          <w:lang w:val="ru-RU"/>
        </w:rPr>
      </w:pPr>
      <w:r>
        <w:rPr>
          <w:lang w:val="ru-RU"/>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14:paraId="175487A5">
      <w:pPr>
        <w:pStyle w:val="30"/>
        <w:spacing w:line="276" w:lineRule="auto"/>
        <w:ind w:left="115" w:right="114" w:firstLine="720"/>
        <w:jc w:val="both"/>
        <w:rPr>
          <w:lang w:val="ru-RU"/>
        </w:rPr>
      </w:pPr>
      <w:r>
        <w:rPr>
          <w:lang w:val="ru-RU"/>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14:paraId="5E3A05F6">
      <w:pPr>
        <w:pStyle w:val="30"/>
        <w:spacing w:line="276" w:lineRule="auto"/>
        <w:ind w:left="115" w:right="114" w:firstLine="720"/>
        <w:jc w:val="both"/>
        <w:rPr>
          <w:lang w:val="ru-RU"/>
        </w:rPr>
      </w:pPr>
      <w:r>
        <w:rPr>
          <w:lang w:val="ru-RU"/>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14:paraId="311D83F0">
      <w:pPr>
        <w:pStyle w:val="30"/>
        <w:spacing w:line="276" w:lineRule="auto"/>
        <w:ind w:left="115" w:right="114" w:firstLine="720"/>
        <w:jc w:val="both"/>
        <w:rPr>
          <w:lang w:val="ru-RU"/>
        </w:rPr>
      </w:pPr>
      <w:r>
        <w:rPr>
          <w:lang w:val="ru-RU"/>
        </w:rPr>
        <w:t>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настоящим Федеральным законом от 25 июня 2002 года № 73-ФЗ «Об объектах культурного наследия (памятниках истории и культуры) народов Российской Федерации (далее – Федеральный закон), земляных, строительных, мелиоративных, хозяйственных работ и иных работ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14:paraId="347E4B6C">
      <w:pPr>
        <w:spacing w:line="276" w:lineRule="auto"/>
        <w:ind w:firstLine="720"/>
        <w:jc w:val="both"/>
        <w:rPr>
          <w:sz w:val="28"/>
          <w:szCs w:val="28"/>
          <w:lang w:val="ru-RU"/>
        </w:rPr>
      </w:pPr>
    </w:p>
    <w:p w14:paraId="7C0DACA8">
      <w:pPr>
        <w:pStyle w:val="30"/>
        <w:spacing w:line="276" w:lineRule="auto"/>
        <w:ind w:left="115" w:right="114" w:firstLine="720"/>
        <w:jc w:val="both"/>
        <w:rPr>
          <w:lang w:val="ru-RU"/>
        </w:rPr>
      </w:pPr>
      <w:r>
        <w:rPr>
          <w:lang w:val="ru-RU"/>
        </w:rPr>
        <w:t>В целях обеспечения сохранности объекта культурного наследия в его исторической среде на сопряженной с ним территории необходимо установить зоны охраны объекта культурного наследия: охранну зона, зона регулирования застройки и хозяйственной деятельности, зона охраняемого природного ландшафта.</w:t>
      </w:r>
    </w:p>
    <w:p w14:paraId="6C8B5354">
      <w:pPr>
        <w:pStyle w:val="30"/>
        <w:spacing w:line="276" w:lineRule="auto"/>
        <w:ind w:left="115" w:right="114" w:firstLine="720"/>
        <w:jc w:val="both"/>
        <w:rPr>
          <w:lang w:val="ru-RU"/>
        </w:rPr>
      </w:pPr>
      <w:r>
        <w:rPr>
          <w:lang w:val="ru-RU"/>
        </w:rPr>
        <w:t>Необходимый состав зон охраны объекта культурного наследия определяется проектом зон охраны объекта культурного наследия.</w:t>
      </w:r>
    </w:p>
    <w:p w14:paraId="659DD09B">
      <w:pPr>
        <w:pStyle w:val="30"/>
        <w:spacing w:line="276" w:lineRule="auto"/>
        <w:ind w:left="115" w:right="114" w:firstLine="720"/>
        <w:jc w:val="both"/>
        <w:rPr>
          <w:lang w:val="ru-RU"/>
        </w:rPr>
      </w:pPr>
      <w:r>
        <w:rPr>
          <w:lang w:val="ru-RU"/>
        </w:rPr>
        <w:t>Охранная зона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14:paraId="47D1CCEE">
      <w:pPr>
        <w:pStyle w:val="30"/>
        <w:spacing w:line="276" w:lineRule="auto"/>
        <w:ind w:left="115" w:right="114" w:firstLine="720"/>
        <w:jc w:val="both"/>
        <w:rPr>
          <w:lang w:val="ru-RU"/>
        </w:rPr>
      </w:pPr>
      <w:r>
        <w:rPr>
          <w:lang w:val="ru-RU"/>
        </w:rPr>
        <w:t>До разработки и утверждения проекта зон охраны объектов культурного наследия устанавливается защитная зона объекта культурного наследия в соответствии со ст. 34.1 Федерального закона.</w:t>
      </w:r>
    </w:p>
    <w:p w14:paraId="03B99327">
      <w:pPr>
        <w:pStyle w:val="30"/>
        <w:spacing w:line="276" w:lineRule="auto"/>
        <w:ind w:left="115" w:right="114" w:firstLine="720"/>
        <w:jc w:val="both"/>
        <w:rPr>
          <w:lang w:val="ru-RU"/>
        </w:rPr>
      </w:pPr>
      <w:r>
        <w:rPr>
          <w:lang w:val="ru-RU"/>
        </w:rPr>
        <w:t xml:space="preserve">Защитными зонами объектов культурного наследия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w:t>
      </w:r>
    </w:p>
    <w:p w14:paraId="151DFE24">
      <w:pPr>
        <w:pStyle w:val="30"/>
        <w:spacing w:line="276" w:lineRule="auto"/>
        <w:ind w:left="115" w:right="114" w:firstLine="720"/>
        <w:jc w:val="both"/>
        <w:rPr>
          <w:lang w:val="ru-RU"/>
        </w:rPr>
      </w:pPr>
      <w:bookmarkStart w:id="33" w:name="dst854"/>
      <w:bookmarkEnd w:id="33"/>
      <w:r>
        <w:rPr>
          <w:lang w:val="ru-RU"/>
        </w:rPr>
        <w:t>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требования и ограничения.</w:t>
      </w:r>
    </w:p>
    <w:p w14:paraId="390E7A3D">
      <w:pPr>
        <w:pStyle w:val="30"/>
        <w:spacing w:line="276" w:lineRule="auto"/>
        <w:ind w:left="115" w:right="114" w:firstLine="720"/>
        <w:jc w:val="both"/>
        <w:rPr>
          <w:lang w:val="ru-RU"/>
        </w:rPr>
      </w:pPr>
      <w:r>
        <w:rPr>
          <w:lang w:val="ru-RU"/>
        </w:rPr>
        <w:t>В целях обеспечения сохранности объектов культурного наследия и соблюдения требований Федерального закона от 25 июня 2002 года № 73-ФЗ «Об объектах культурного наследия (памятниках истории и культуры) народов Российской Федерации» необходимо согласовывать с региональным органом охраны объектов культурного наследия:</w:t>
      </w:r>
    </w:p>
    <w:p w14:paraId="1BD797C2">
      <w:pPr>
        <w:pStyle w:val="30"/>
        <w:spacing w:line="276" w:lineRule="auto"/>
        <w:ind w:left="115" w:right="114" w:firstLine="720"/>
        <w:jc w:val="both"/>
        <w:rPr>
          <w:lang w:val="ru-RU"/>
        </w:rPr>
      </w:pPr>
      <w:r>
        <w:rPr>
          <w:lang w:val="ru-RU"/>
        </w:rPr>
        <w:t xml:space="preserve">1) проекты планировки, застройки и реконструкции населенных пунктов; </w:t>
      </w:r>
    </w:p>
    <w:p w14:paraId="07DE4C20">
      <w:pPr>
        <w:pStyle w:val="30"/>
        <w:spacing w:line="276" w:lineRule="auto"/>
        <w:ind w:left="115" w:right="114" w:firstLine="720"/>
        <w:jc w:val="both"/>
        <w:rPr>
          <w:lang w:val="ru-RU"/>
        </w:rPr>
      </w:pPr>
      <w:r>
        <w:rPr>
          <w:lang w:val="ru-RU"/>
        </w:rPr>
        <w:t xml:space="preserve">2) проектирование и проведение землеустроительных, земляных, строительных, мелиоративных, хозяйственных и иных работ в границах территории объектов культурного наследия; </w:t>
      </w:r>
    </w:p>
    <w:p w14:paraId="10E82C2F">
      <w:pPr>
        <w:pStyle w:val="30"/>
        <w:spacing w:line="276" w:lineRule="auto"/>
        <w:ind w:left="115" w:right="114" w:firstLine="720"/>
        <w:jc w:val="both"/>
        <w:rPr>
          <w:lang w:val="ru-RU"/>
        </w:rPr>
      </w:pPr>
      <w:r>
        <w:rPr>
          <w:lang w:val="ru-RU"/>
        </w:rPr>
        <w:t>3) проектирование и проведение работ по сохранению объекта культурного наследия.</w:t>
      </w:r>
    </w:p>
    <w:p w14:paraId="642B2222">
      <w:pPr>
        <w:pStyle w:val="30"/>
        <w:spacing w:line="276" w:lineRule="auto"/>
        <w:ind w:left="115" w:right="114" w:firstLine="720"/>
        <w:jc w:val="both"/>
        <w:rPr>
          <w:lang w:val="ru-RU"/>
        </w:rPr>
      </w:pPr>
      <w:r>
        <w:rPr>
          <w:lang w:val="ru-RU"/>
        </w:rPr>
        <w:t>В случае обнаружения в ходе проведения изыскательских, проектных, земляных, строительных, мелиоративных, хозяйственных работ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региональный орган охраны объектов культурного наследия письменное заявление об обнаруженном объекте культурного наследия».</w:t>
      </w:r>
    </w:p>
    <w:p w14:paraId="31581869">
      <w:pPr>
        <w:pStyle w:val="30"/>
        <w:spacing w:line="276" w:lineRule="auto"/>
        <w:ind w:left="115" w:right="114" w:firstLine="720"/>
        <w:jc w:val="both"/>
        <w:rPr>
          <w:lang w:val="ru-RU"/>
        </w:rPr>
      </w:pPr>
      <w:r>
        <w:rPr>
          <w:lang w:val="ru-RU"/>
        </w:rPr>
        <w:t>Проектирование и проведение землеустроительных, земляных, строительных, мелиоративных, хозяйственных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либо при обеспечении заказчиком работ требований к сохранности расположенных на данной территории объектов культурного наследия, указанных в ст. 36 Федерального закона.</w:t>
      </w:r>
    </w:p>
    <w:p w14:paraId="1C0DAA36">
      <w:pPr>
        <w:pStyle w:val="3"/>
        <w:shd w:val="clear" w:color="auto" w:fill="FFFFFF"/>
        <w:spacing w:before="240" w:after="240" w:line="317" w:lineRule="exact"/>
        <w:ind w:left="284"/>
        <w:rPr>
          <w:rFonts w:ascii="Times New Roman" w:hAnsi="Times New Roman"/>
          <w:color w:val="auto"/>
          <w:sz w:val="28"/>
          <w:lang w:val="ru-RU"/>
        </w:rPr>
      </w:pPr>
      <w:r>
        <w:rPr>
          <w:rFonts w:ascii="Times New Roman" w:hAnsi="Times New Roman"/>
          <w:color w:val="auto"/>
          <w:sz w:val="28"/>
          <w:lang w:val="ru-RU"/>
        </w:rPr>
        <w:t>7.2 Объекты археологии на территории села Сухарево</w:t>
      </w:r>
    </w:p>
    <w:p w14:paraId="7B779D84">
      <w:pPr>
        <w:pStyle w:val="30"/>
        <w:spacing w:line="276" w:lineRule="auto"/>
        <w:ind w:left="115" w:right="114" w:firstLine="720"/>
        <w:jc w:val="both"/>
        <w:rPr>
          <w:lang w:val="ru-RU"/>
        </w:rPr>
      </w:pPr>
      <w:r>
        <w:rPr>
          <w:lang w:val="ru-RU"/>
        </w:rPr>
        <w:t>На территории села Сухарево нет объектов археологии, стоящих на государственной охране.</w:t>
      </w:r>
    </w:p>
    <w:p w14:paraId="041D85F0">
      <w:pPr>
        <w:pStyle w:val="30"/>
        <w:ind w:left="115" w:right="114" w:firstLine="720"/>
        <w:jc w:val="both"/>
        <w:rPr>
          <w:sz w:val="24"/>
          <w:szCs w:val="24"/>
          <w:lang w:val="ru-RU"/>
        </w:rPr>
      </w:pPr>
    </w:p>
    <w:p w14:paraId="0CEC975A">
      <w:pPr>
        <w:pStyle w:val="3"/>
        <w:shd w:val="clear" w:color="auto" w:fill="FFFFFF"/>
        <w:spacing w:before="240" w:after="240" w:line="317" w:lineRule="exact"/>
        <w:ind w:left="284"/>
        <w:rPr>
          <w:rFonts w:ascii="Times New Roman" w:hAnsi="Times New Roman"/>
          <w:color w:val="auto"/>
          <w:sz w:val="28"/>
          <w:lang w:val="ru-RU"/>
        </w:rPr>
      </w:pPr>
      <w:r>
        <w:rPr>
          <w:rFonts w:ascii="Times New Roman" w:hAnsi="Times New Roman"/>
          <w:color w:val="auto"/>
          <w:sz w:val="28"/>
          <w:lang w:val="ru-RU"/>
        </w:rPr>
        <w:t>7.3 Особо охраняемые природные территории села Сухарево</w:t>
      </w:r>
    </w:p>
    <w:p w14:paraId="4EDD266C">
      <w:pPr>
        <w:pStyle w:val="30"/>
        <w:spacing w:line="276" w:lineRule="auto"/>
        <w:ind w:left="115" w:right="114" w:firstLine="720"/>
        <w:jc w:val="both"/>
        <w:rPr>
          <w:lang w:val="ru-RU"/>
        </w:rPr>
      </w:pPr>
      <w:r>
        <w:rPr>
          <w:lang w:val="ru-RU"/>
        </w:rPr>
        <w:t>Основу биосферного потенциала Валуйского муниципального округа составляют: «информационные ресурсы» особо охраняемых территорий (природные парки, заказники и многочисленные памятники природы), уникальные виды животных и растений, включенные в Красные книги области и России, особо ценные территории и объекты, а также – защита леса.</w:t>
      </w:r>
    </w:p>
    <w:p w14:paraId="50830A35">
      <w:pPr>
        <w:pStyle w:val="30"/>
        <w:spacing w:line="276" w:lineRule="auto"/>
        <w:ind w:left="115" w:right="114" w:firstLine="720"/>
        <w:jc w:val="both"/>
        <w:rPr>
          <w:lang w:val="ru-RU"/>
        </w:rPr>
      </w:pPr>
    </w:p>
    <w:p w14:paraId="1397A224">
      <w:pPr>
        <w:pStyle w:val="30"/>
        <w:spacing w:line="276" w:lineRule="auto"/>
        <w:ind w:left="115" w:right="114" w:firstLine="720"/>
        <w:jc w:val="both"/>
        <w:rPr>
          <w:lang w:val="ru-RU"/>
        </w:rPr>
      </w:pPr>
      <w:r>
        <w:rPr>
          <w:lang w:val="ru-RU"/>
        </w:rPr>
        <w:t>На территории села Сухарево нет особо охраняемых природных территорий.</w:t>
      </w:r>
    </w:p>
    <w:p w14:paraId="23EFC581">
      <w:pPr>
        <w:pStyle w:val="30"/>
        <w:spacing w:line="276" w:lineRule="auto"/>
        <w:ind w:left="115" w:right="114" w:firstLine="720"/>
        <w:jc w:val="both"/>
        <w:rPr>
          <w:lang w:val="ru-RU"/>
        </w:rPr>
      </w:pPr>
    </w:p>
    <w:p w14:paraId="799B8E38">
      <w:pPr>
        <w:pStyle w:val="30"/>
        <w:spacing w:before="7" w:line="276" w:lineRule="auto"/>
        <w:ind w:left="115" w:right="110" w:firstLine="736"/>
        <w:jc w:val="both"/>
        <w:rPr>
          <w:b/>
          <w:lang w:val="ru-RU"/>
        </w:rPr>
      </w:pPr>
      <w:r>
        <w:rPr>
          <w:lang w:val="ru-RU"/>
        </w:rPr>
        <w:t>В существующих и планируемых границах села Сухарево нет лесов, расположенных на землях населенного пункта.</w:t>
      </w:r>
    </w:p>
    <w:p w14:paraId="0A14F3F9">
      <w:pPr>
        <w:pStyle w:val="30"/>
        <w:spacing w:before="7" w:line="360" w:lineRule="auto"/>
        <w:ind w:right="110"/>
        <w:jc w:val="both"/>
        <w:rPr>
          <w:b/>
          <w:lang w:val="ru-RU"/>
        </w:rPr>
      </w:pPr>
    </w:p>
    <w:p w14:paraId="4569CD0A">
      <w:pPr>
        <w:pStyle w:val="30"/>
        <w:spacing w:before="7" w:line="360" w:lineRule="auto"/>
        <w:ind w:right="110"/>
        <w:jc w:val="both"/>
        <w:rPr>
          <w:b/>
          <w:lang w:val="ru-RU"/>
        </w:rPr>
      </w:pPr>
    </w:p>
    <w:p w14:paraId="1FA9ABC6">
      <w:pPr>
        <w:pStyle w:val="30"/>
        <w:spacing w:before="7" w:line="360" w:lineRule="auto"/>
        <w:ind w:right="110"/>
        <w:jc w:val="both"/>
        <w:rPr>
          <w:b/>
          <w:lang w:val="ru-RU"/>
        </w:rPr>
      </w:pPr>
    </w:p>
    <w:p w14:paraId="03809532">
      <w:pPr>
        <w:pStyle w:val="30"/>
        <w:spacing w:before="7" w:line="360" w:lineRule="auto"/>
        <w:ind w:right="110"/>
        <w:jc w:val="both"/>
        <w:rPr>
          <w:b/>
          <w:lang w:val="ru-RU"/>
        </w:rPr>
      </w:pPr>
    </w:p>
    <w:p w14:paraId="02F20ADB">
      <w:pPr>
        <w:pStyle w:val="30"/>
        <w:spacing w:before="7" w:line="276" w:lineRule="auto"/>
        <w:ind w:left="115" w:right="110" w:firstLine="736"/>
        <w:jc w:val="both"/>
        <w:rPr>
          <w:lang w:val="ru-RU"/>
        </w:rPr>
      </w:pPr>
    </w:p>
    <w:p w14:paraId="3C56121C">
      <w:pPr>
        <w:pStyle w:val="30"/>
        <w:spacing w:before="7" w:line="276" w:lineRule="auto"/>
        <w:ind w:left="115" w:right="110" w:firstLine="736"/>
        <w:jc w:val="both"/>
        <w:rPr>
          <w:lang w:val="ru-RU"/>
        </w:rPr>
      </w:pPr>
    </w:p>
    <w:p w14:paraId="141F5026">
      <w:pPr>
        <w:pStyle w:val="30"/>
        <w:spacing w:before="7" w:line="276" w:lineRule="auto"/>
        <w:ind w:left="115" w:right="110" w:firstLine="736"/>
        <w:jc w:val="both"/>
        <w:rPr>
          <w:i/>
          <w:lang w:val="ru-RU"/>
        </w:rPr>
      </w:pPr>
    </w:p>
    <w:p w14:paraId="3E572094">
      <w:pPr>
        <w:spacing w:line="276" w:lineRule="auto"/>
        <w:ind w:firstLine="567"/>
        <w:contextualSpacing/>
        <w:jc w:val="both"/>
        <w:rPr>
          <w:sz w:val="28"/>
          <w:szCs w:val="28"/>
          <w:lang w:val="ru-RU"/>
        </w:rPr>
      </w:pPr>
    </w:p>
    <w:sectPr>
      <w:pgSz w:w="11900" w:h="16840"/>
      <w:pgMar w:top="862" w:right="499" w:bottom="1259" w:left="1202" w:header="0" w:footer="998" w:gutter="0"/>
      <w:cols w:space="72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黑体">
    <w:altName w:val="SimSun"/>
    <w:panose1 w:val="02010609060101010101"/>
    <w:charset w:val="86"/>
    <w:family w:val="modern"/>
    <w:pitch w:val="default"/>
    <w:sig w:usb0="800002BF" w:usb1="38CF7CFA" w:usb2="00000016" w:usb3="00000000" w:csb0="00040001" w:csb1="00000000"/>
  </w:font>
  <w:font w:name="Wingdings">
    <w:panose1 w:val="05000000000000000000"/>
    <w:charset w:val="02"/>
    <w:family w:val="auto"/>
    <w:pitch w:val="default"/>
    <w:sig w:usb0="00000000" w:usb1="00000000" w:usb2="00000000" w:usb3="00000000" w:csb0="80000000" w:csb1="00000000"/>
  </w:font>
  <w:font w:name="Calibri">
    <w:panose1 w:val="020F0502020204030204"/>
    <w:charset w:val="86"/>
    <w:family w:val="swiss"/>
    <w:pitch w:val="default"/>
    <w:sig w:usb0="E4002EFF" w:usb1="C000247B" w:usb2="00000009" w:usb3="00000000" w:csb0="200001FF" w:csb1="00000000"/>
  </w:font>
  <w:font w:name="Calibri">
    <w:panose1 w:val="020F0502020204030204"/>
    <w:charset w:val="CC"/>
    <w:family w:val="swiss"/>
    <w:pitch w:val="default"/>
    <w:sig w:usb0="E4002EFF" w:usb1="C000247B" w:usb2="00000009" w:usb3="00000000" w:csb0="200001FF" w:csb1="00000000"/>
  </w:font>
  <w:font w:name="Calibri">
    <w:panose1 w:val="020F0502020204030204"/>
    <w:charset w:val="00"/>
    <w:family w:val="auto"/>
    <w:pitch w:val="default"/>
    <w:sig w:usb0="E4002EFF" w:usb1="C000247B" w:usb2="00000009" w:usb3="00000000" w:csb0="200001FF" w:csb1="00000000"/>
  </w:font>
  <w:font w:name="Cambria">
    <w:panose1 w:val="02040503050406030204"/>
    <w:charset w:val="CC"/>
    <w:family w:val="roman"/>
    <w:pitch w:val="default"/>
    <w:sig w:usb0="E00006FF" w:usb1="420024FF" w:usb2="02000000" w:usb3="00000000" w:csb0="2000019F" w:csb1="00000000"/>
  </w:font>
  <w:font w:name="Arial">
    <w:panose1 w:val="020B0604020202020204"/>
    <w:charset w:val="CC"/>
    <w:family w:val="swiss"/>
    <w:pitch w:val="default"/>
    <w:sig w:usb0="E0002EFF" w:usb1="C000785B" w:usb2="00000009" w:usb3="00000000" w:csb0="400001FF" w:csb1="FFFF0000"/>
  </w:font>
  <w:font w:name="Tahoma">
    <w:panose1 w:val="020B0604030504040204"/>
    <w:charset w:val="CC"/>
    <w:family w:val="swiss"/>
    <w:pitch w:val="default"/>
    <w:sig w:usb0="E1002EFF" w:usb1="C000605B" w:usb2="00000029" w:usb3="00000000" w:csb0="200101FF" w:csb1="20280000"/>
  </w:font>
  <w:font w:name="Bookman Old Style">
    <w:panose1 w:val="02050604050505020204"/>
    <w:charset w:val="CC"/>
    <w:family w:val="roman"/>
    <w:pitch w:val="default"/>
    <w:sig w:usb0="00000287" w:usb1="00000000" w:usb2="00000000" w:usb3="00000000" w:csb0="2000009F" w:csb1="DFD70000"/>
  </w:font>
  <w:font w:name="Verdana">
    <w:panose1 w:val="020B0604030504040204"/>
    <w:charset w:val="CC"/>
    <w:family w:val="swiss"/>
    <w:pitch w:val="default"/>
    <w:sig w:usb0="A00006FF" w:usb1="4000205B" w:usb2="00000010" w:usb3="00000000" w:csb0="2000019F" w:csb1="00000000"/>
  </w:font>
  <w:font w:name="Times New Roman CYR">
    <w:altName w:val="Times New Roman"/>
    <w:panose1 w:val="02020603050405020304"/>
    <w:charset w:val="CC"/>
    <w:family w:val="roman"/>
    <w:pitch w:val="default"/>
    <w:sig w:usb0="00000000" w:usb1="00000000" w:usb2="00000009" w:usb3="00000000" w:csb0="000001FF" w:csb1="00000000"/>
  </w:font>
  <w:font w:name="Arial Unicode MS">
    <w:panose1 w:val="020B0604020202020204"/>
    <w:charset w:val="80"/>
    <w:family w:val="swiss"/>
    <w:pitch w:val="default"/>
    <w:sig w:usb0="FFFFFFFF" w:usb1="E9FFFFFF" w:usb2="0000003F" w:usb3="00000000" w:csb0="603F01FF" w:csb1="FFFF0000"/>
  </w:font>
  <w:font w:name="Baltica">
    <w:altName w:val="Courier New"/>
    <w:panose1 w:val="00000000000000000000"/>
    <w:charset w:val="00"/>
    <w:family w:val="swiss"/>
    <w:pitch w:val="default"/>
    <w:sig w:usb0="00000000" w:usb1="00000000" w:usb2="00000000" w:usb3="00000000" w:csb0="00000001" w:csb1="00000000"/>
  </w:font>
  <w:font w:name="Monotype Corsiva">
    <w:panose1 w:val="03010101010201010101"/>
    <w:charset w:val="CC"/>
    <w:family w:val="script"/>
    <w:pitch w:val="default"/>
    <w:sig w:usb0="00000287" w:usb1="00000000" w:usb2="00000000" w:usb3="00000000" w:csb0="2000009F" w:csb1="DFD70000"/>
  </w:font>
  <w:font w:name="Symbol">
    <w:panose1 w:val="05050102010706020507"/>
    <w:charset w:val="02"/>
    <w:family w:val="roman"/>
    <w:pitch w:val="default"/>
    <w:sig w:usb0="00000000" w:usb1="00000000" w:usb2="00000000" w:usb3="00000000" w:csb0="80000000" w:csb1="00000000"/>
  </w:font>
  <w:font w:name="Courier New">
    <w:panose1 w:val="02070309020205020404"/>
    <w:charset w:val="CC"/>
    <w:family w:val="modern"/>
    <w:pitch w:val="default"/>
    <w:sig w:usb0="E0002EFF" w:usb1="C0007843" w:usb2="00000009" w:usb3="00000000" w:csb0="400001FF" w:csb1="FFFF0000"/>
  </w:font>
  <w:font w:name="Cambria Math">
    <w:panose1 w:val="02040503050406030204"/>
    <w:charset w:val="CC"/>
    <w:family w:val="roman"/>
    <w:pitch w:val="default"/>
    <w:sig w:usb0="E00006FF" w:usb1="420024FF" w:usb2="02000000" w:usb3="00000000" w:csb0="2000019F" w:csb1="00000000"/>
  </w:font>
  <w:font w:name="Cambria">
    <w:panose1 w:val="02040503050406030204"/>
    <w:charset w:val="00"/>
    <w:family w:val="auto"/>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C08130">
    <w:pPr>
      <w:spacing w:line="0" w:lineRule="atLeast"/>
      <w:rPr>
        <w:sz w:val="0"/>
        <w:szCs w:val="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FCFDF5">
    <w:pPr>
      <w:pStyle w:val="30"/>
      <w:spacing w:line="14" w:lineRule="auto"/>
      <w:rPr>
        <w:sz w:val="20"/>
      </w:rPr>
    </w:pPr>
    <w:r>
      <w:rPr>
        <w:lang w:val="ru-RU" w:eastAsia="ru-RU"/>
      </w:rPr>
      <mc:AlternateContent>
        <mc:Choice Requires="wps">
          <w:drawing>
            <wp:anchor distT="0" distB="0" distL="114300" distR="114300" simplePos="0" relativeHeight="251659264" behindDoc="1" locked="0" layoutInCell="1" allowOverlap="1">
              <wp:simplePos x="0" y="0"/>
              <wp:positionH relativeFrom="page">
                <wp:posOffset>6911975</wp:posOffset>
              </wp:positionH>
              <wp:positionV relativeFrom="page">
                <wp:posOffset>9880600</wp:posOffset>
              </wp:positionV>
              <wp:extent cx="203200" cy="194310"/>
              <wp:effectExtent l="0" t="3175" r="0" b="2540"/>
              <wp:wrapNone/>
              <wp:docPr id="1" name="Text Box 1"/>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0679F337">
                          <w:pPr>
                            <w:spacing w:before="10"/>
                            <w:ind w:left="40"/>
                            <w:rPr>
                              <w:sz w:val="24"/>
                            </w:rPr>
                          </w:pPr>
                          <w:r>
                            <w:fldChar w:fldCharType="begin"/>
                          </w:r>
                          <w:r>
                            <w:rPr>
                              <w:sz w:val="24"/>
                            </w:rPr>
                            <w:instrText xml:space="preserve"> PAGE </w:instrText>
                          </w:r>
                          <w:r>
                            <w:fldChar w:fldCharType="separate"/>
                          </w:r>
                          <w:r>
                            <w:rPr>
                              <w:sz w:val="24"/>
                            </w:rPr>
                            <w:t>3</w:t>
                          </w:r>
                          <w:r>
                            <w:fldChar w:fldCharType="end"/>
                          </w:r>
                        </w:p>
                      </w:txbxContent>
                    </wps:txbx>
                    <wps:bodyPr rot="0" vert="horz" wrap="square" lIns="0" tIns="0" rIns="0" bIns="0" anchor="t" anchorCtr="0" upright="1">
                      <a:noAutofit/>
                    </wps:bodyPr>
                  </wps:wsp>
                </a:graphicData>
              </a:graphic>
            </wp:anchor>
          </w:drawing>
        </mc:Choice>
        <mc:Fallback>
          <w:pict>
            <v:shape id="Text Box 1" o:spid="_x0000_s1026" o:spt="202" type="#_x0000_t202" style="position:absolute;left:0pt;margin-left:544.25pt;margin-top:778pt;height:15.3pt;width:16pt;mso-position-horizontal-relative:page;mso-position-vertical-relative:page;z-index:-251657216;mso-width-relative:page;mso-height-relative:page;" filled="f" stroked="f" coordsize="21600,21600" o:gfxdata="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">
              <v:fill on="f" focussize="0,0"/>
              <v:stroke on="f"/>
              <v:imagedata o:title=""/>
              <o:lock v:ext="edit" aspectratio="f"/>
              <v:textbox inset="0mm,0mm,0mm,0mm">
                <w:txbxContent>
                  <w:p w14:paraId="0679F337">
                    <w:pPr>
                      <w:spacing w:before="10"/>
                      <w:ind w:left="40"/>
                      <w:rPr>
                        <w:sz w:val="24"/>
                      </w:rPr>
                    </w:pPr>
                    <w:r>
                      <w:fldChar w:fldCharType="begin"/>
                    </w:r>
                    <w:r>
                      <w:rPr>
                        <w:sz w:val="24"/>
                      </w:rPr>
                      <w:instrText xml:space="preserve"> PAGE </w:instrText>
                    </w:r>
                    <w:r>
                      <w:fldChar w:fldCharType="separate"/>
                    </w:r>
                    <w:r>
                      <w:rPr>
                        <w:sz w:val="24"/>
                      </w:rPr>
                      <w:t>3</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786F32">
    <w:pPr>
      <w:spacing w:line="200" w:lineRule="exact"/>
      <w:rPr>
        <w:sz w:val="20"/>
        <w:szCs w:val="20"/>
      </w:rPr>
    </w:pPr>
    <w:r>
      <w:rPr>
        <w:lang w:val="ru-RU" w:eastAsia="ru-RU"/>
      </w:rPr>
      <mc:AlternateContent>
        <mc:Choice Requires="wps">
          <w:drawing>
            <wp:anchor distT="0" distB="0" distL="114300" distR="114300" simplePos="0" relativeHeight="251661312" behindDoc="1" locked="0" layoutInCell="1" allowOverlap="1">
              <wp:simplePos x="0" y="0"/>
              <wp:positionH relativeFrom="page">
                <wp:posOffset>6767195</wp:posOffset>
              </wp:positionH>
              <wp:positionV relativeFrom="page">
                <wp:posOffset>10069195</wp:posOffset>
              </wp:positionV>
              <wp:extent cx="279400" cy="177800"/>
              <wp:effectExtent l="0" t="0" r="6350" b="12700"/>
              <wp:wrapNone/>
              <wp:docPr id="152" name="Text Box 152"/>
              <wp:cNvGraphicFramePr/>
              <a:graphic xmlns:a="http://schemas.openxmlformats.org/drawingml/2006/main">
                <a:graphicData uri="http://schemas.microsoft.com/office/word/2010/wordprocessingShape">
                  <wps:wsp>
                    <wps:cNvSpPr txBox="1">
                      <a:spLocks noChangeArrowheads="1"/>
                    </wps:cNvSpPr>
                    <wps:spPr bwMode="auto">
                      <a:xfrm>
                        <a:off x="0" y="0"/>
                        <a:ext cx="279400" cy="177800"/>
                      </a:xfrm>
                      <a:prstGeom prst="rect">
                        <a:avLst/>
                      </a:prstGeom>
                      <a:noFill/>
                      <a:ln>
                        <a:noFill/>
                      </a:ln>
                    </wps:spPr>
                    <wps:txbx>
                      <w:txbxContent>
                        <w:p w14:paraId="7F4EFF1F">
                          <w:pPr>
                            <w:spacing w:line="265" w:lineRule="exact"/>
                            <w:ind w:left="40" w:right="-20"/>
                            <w:rPr>
                              <w:sz w:val="24"/>
                              <w:szCs w:val="24"/>
                            </w:rPr>
                          </w:pPr>
                          <w:r>
                            <w:fldChar w:fldCharType="begin"/>
                          </w:r>
                          <w:r>
                            <w:rPr>
                              <w:sz w:val="24"/>
                              <w:szCs w:val="24"/>
                            </w:rPr>
                            <w:instrText xml:space="preserve"> PAGE </w:instrText>
                          </w:r>
                          <w:r>
                            <w:fldChar w:fldCharType="separate"/>
                          </w:r>
                          <w:r>
                            <w:rPr>
                              <w:sz w:val="24"/>
                              <w:szCs w:val="24"/>
                            </w:rPr>
                            <w:t>37</w:t>
                          </w:r>
                          <w:r>
                            <w:fldChar w:fldCharType="end"/>
                          </w:r>
                        </w:p>
                      </w:txbxContent>
                    </wps:txbx>
                    <wps:bodyPr rot="0" vert="horz" wrap="square" lIns="0" tIns="0" rIns="0" bIns="0" anchor="t" anchorCtr="0" upright="1">
                      <a:noAutofit/>
                    </wps:bodyPr>
                  </wps:wsp>
                </a:graphicData>
              </a:graphic>
            </wp:anchor>
          </w:drawing>
        </mc:Choice>
        <mc:Fallback>
          <w:pict>
            <v:shape id="Text Box 152" o:spid="_x0000_s1026" o:spt="202" type="#_x0000_t202" style="position:absolute;left:0pt;margin-left:532.85pt;margin-top:792.85pt;height:14pt;width:22pt;mso-position-horizontal-relative:page;mso-position-vertical-relative:page;z-index:-251655168;mso-width-relative:page;mso-height-relative:page;" filled="f" stroked="f" coordsize="21600,21600" o:gfxdata="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">
              <v:fill on="f" focussize="0,0"/>
              <v:stroke on="f"/>
              <v:imagedata o:title=""/>
              <o:lock v:ext="edit" aspectratio="f"/>
              <v:textbox inset="0mm,0mm,0mm,0mm">
                <w:txbxContent>
                  <w:p w14:paraId="7F4EFF1F">
                    <w:pPr>
                      <w:spacing w:line="265" w:lineRule="exact"/>
                      <w:ind w:left="40" w:right="-20"/>
                      <w:rPr>
                        <w:sz w:val="24"/>
                        <w:szCs w:val="24"/>
                      </w:rPr>
                    </w:pPr>
                    <w:r>
                      <w:fldChar w:fldCharType="begin"/>
                    </w:r>
                    <w:r>
                      <w:rPr>
                        <w:sz w:val="24"/>
                        <w:szCs w:val="24"/>
                      </w:rPr>
                      <w:instrText xml:space="preserve"> PAGE </w:instrText>
                    </w:r>
                    <w:r>
                      <w:fldChar w:fldCharType="separate"/>
                    </w:r>
                    <w:r>
                      <w:rPr>
                        <w:sz w:val="24"/>
                        <w:szCs w:val="24"/>
                      </w:rPr>
                      <w:t>37</w:t>
                    </w:r>
                    <w: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95F3D2A"/>
    <w:multiLevelType w:val="multilevel"/>
    <w:tmpl w:val="095F3D2A"/>
    <w:lvl w:ilvl="0" w:tentative="0">
      <w:start w:val="3"/>
      <w:numFmt w:val="decimal"/>
      <w:lvlText w:val="%1"/>
      <w:lvlJc w:val="left"/>
      <w:pPr>
        <w:ind w:left="1388" w:hanging="706"/>
      </w:pPr>
      <w:rPr>
        <w:rFonts w:hint="default"/>
      </w:rPr>
    </w:lvl>
    <w:lvl w:ilvl="1" w:tentative="0">
      <w:start w:val="1"/>
      <w:numFmt w:val="decimal"/>
      <w:lvlText w:val="%1.%2"/>
      <w:lvlJc w:val="left"/>
      <w:pPr>
        <w:ind w:left="1388" w:hanging="706"/>
      </w:pPr>
      <w:rPr>
        <w:rFonts w:hint="default"/>
      </w:rPr>
    </w:lvl>
    <w:lvl w:ilvl="2" w:tentative="0">
      <w:start w:val="1"/>
      <w:numFmt w:val="decimal"/>
      <w:lvlText w:val="2.2.%3"/>
      <w:lvlJc w:val="left"/>
      <w:pPr>
        <w:ind w:left="1388" w:hanging="706"/>
      </w:pPr>
      <w:rPr>
        <w:rFonts w:hint="default"/>
        <w:w w:val="99"/>
        <w:sz w:val="28"/>
        <w:szCs w:val="28"/>
      </w:rPr>
    </w:lvl>
    <w:lvl w:ilvl="3" w:tentative="0">
      <w:start w:val="0"/>
      <w:numFmt w:val="bullet"/>
      <w:lvlText w:val=""/>
      <w:lvlJc w:val="left"/>
      <w:pPr>
        <w:ind w:left="1402" w:hanging="360"/>
      </w:pPr>
      <w:rPr>
        <w:rFonts w:hint="default" w:ascii="Symbol" w:hAnsi="Symbol" w:eastAsia="Symbol" w:cs="Symbol"/>
        <w:w w:val="99"/>
        <w:sz w:val="28"/>
        <w:szCs w:val="28"/>
      </w:rPr>
    </w:lvl>
    <w:lvl w:ilvl="4" w:tentative="0">
      <w:start w:val="0"/>
      <w:numFmt w:val="bullet"/>
      <w:lvlText w:val="•"/>
      <w:lvlJc w:val="left"/>
      <w:pPr>
        <w:ind w:left="4260" w:hanging="360"/>
      </w:pPr>
      <w:rPr>
        <w:rFonts w:hint="default"/>
      </w:rPr>
    </w:lvl>
    <w:lvl w:ilvl="5" w:tentative="0">
      <w:start w:val="0"/>
      <w:numFmt w:val="bullet"/>
      <w:lvlText w:val="•"/>
      <w:lvlJc w:val="left"/>
      <w:pPr>
        <w:ind w:left="5213" w:hanging="360"/>
      </w:pPr>
      <w:rPr>
        <w:rFonts w:hint="default"/>
      </w:rPr>
    </w:lvl>
    <w:lvl w:ilvl="6" w:tentative="0">
      <w:start w:val="0"/>
      <w:numFmt w:val="bullet"/>
      <w:lvlText w:val="•"/>
      <w:lvlJc w:val="left"/>
      <w:pPr>
        <w:ind w:left="6166" w:hanging="360"/>
      </w:pPr>
      <w:rPr>
        <w:rFonts w:hint="default"/>
      </w:rPr>
    </w:lvl>
    <w:lvl w:ilvl="7" w:tentative="0">
      <w:start w:val="0"/>
      <w:numFmt w:val="bullet"/>
      <w:lvlText w:val="•"/>
      <w:lvlJc w:val="left"/>
      <w:pPr>
        <w:ind w:left="7120" w:hanging="360"/>
      </w:pPr>
      <w:rPr>
        <w:rFonts w:hint="default"/>
      </w:rPr>
    </w:lvl>
    <w:lvl w:ilvl="8" w:tentative="0">
      <w:start w:val="0"/>
      <w:numFmt w:val="bullet"/>
      <w:lvlText w:val="•"/>
      <w:lvlJc w:val="left"/>
      <w:pPr>
        <w:ind w:left="8073" w:hanging="360"/>
      </w:pPr>
      <w:rPr>
        <w:rFonts w:hint="default"/>
      </w:rPr>
    </w:lvl>
  </w:abstractNum>
  <w:abstractNum w:abstractNumId="1">
    <w:nsid w:val="0FA2696F"/>
    <w:multiLevelType w:val="multilevel"/>
    <w:tmpl w:val="0FA2696F"/>
    <w:lvl w:ilvl="0" w:tentative="0">
      <w:start w:val="1"/>
      <w:numFmt w:val="decimal"/>
      <w:lvlText w:val="%1."/>
      <w:lvlJc w:val="left"/>
      <w:pPr>
        <w:ind w:left="227" w:hanging="111"/>
      </w:pPr>
      <w:rPr>
        <w:rFonts w:hint="default"/>
      </w:rPr>
    </w:lvl>
    <w:lvl w:ilvl="1" w:tentative="0">
      <w:start w:val="1"/>
      <w:numFmt w:val="decimal"/>
      <w:isLgl/>
      <w:lvlText w:val="%1.%2"/>
      <w:lvlJc w:val="left"/>
      <w:pPr>
        <w:ind w:left="1460" w:hanging="420"/>
      </w:pPr>
      <w:rPr>
        <w:rFonts w:hint="default"/>
        <w:color w:val="auto"/>
      </w:rPr>
    </w:lvl>
    <w:lvl w:ilvl="2" w:tentative="0">
      <w:start w:val="1"/>
      <w:numFmt w:val="decimal"/>
      <w:isLgl/>
      <w:lvlText w:val="%1.%2.%3"/>
      <w:lvlJc w:val="left"/>
      <w:pPr>
        <w:ind w:left="2684" w:hanging="720"/>
      </w:pPr>
      <w:rPr>
        <w:rFonts w:hint="default"/>
        <w:color w:val="auto"/>
      </w:rPr>
    </w:lvl>
    <w:lvl w:ilvl="3" w:tentative="0">
      <w:start w:val="1"/>
      <w:numFmt w:val="decimal"/>
      <w:isLgl/>
      <w:lvlText w:val="%1.%2.%3.%4"/>
      <w:lvlJc w:val="left"/>
      <w:pPr>
        <w:ind w:left="3968" w:hanging="1080"/>
      </w:pPr>
      <w:rPr>
        <w:rFonts w:hint="default"/>
        <w:color w:val="auto"/>
      </w:rPr>
    </w:lvl>
    <w:lvl w:ilvl="4" w:tentative="0">
      <w:start w:val="1"/>
      <w:numFmt w:val="decimal"/>
      <w:isLgl/>
      <w:lvlText w:val="%1.%2.%3.%4.%5"/>
      <w:lvlJc w:val="left"/>
      <w:pPr>
        <w:ind w:left="4892" w:hanging="1080"/>
      </w:pPr>
      <w:rPr>
        <w:rFonts w:hint="default"/>
        <w:color w:val="auto"/>
      </w:rPr>
    </w:lvl>
    <w:lvl w:ilvl="5" w:tentative="0">
      <w:start w:val="1"/>
      <w:numFmt w:val="decimal"/>
      <w:isLgl/>
      <w:lvlText w:val="%1.%2.%3.%4.%5.%6"/>
      <w:lvlJc w:val="left"/>
      <w:pPr>
        <w:ind w:left="6176" w:hanging="1440"/>
      </w:pPr>
      <w:rPr>
        <w:rFonts w:hint="default"/>
        <w:color w:val="auto"/>
      </w:rPr>
    </w:lvl>
    <w:lvl w:ilvl="6" w:tentative="0">
      <w:start w:val="1"/>
      <w:numFmt w:val="decimal"/>
      <w:isLgl/>
      <w:lvlText w:val="%1.%2.%3.%4.%5.%6.%7"/>
      <w:lvlJc w:val="left"/>
      <w:pPr>
        <w:ind w:left="7100" w:hanging="1440"/>
      </w:pPr>
      <w:rPr>
        <w:rFonts w:hint="default"/>
        <w:color w:val="auto"/>
      </w:rPr>
    </w:lvl>
    <w:lvl w:ilvl="7" w:tentative="0">
      <w:start w:val="1"/>
      <w:numFmt w:val="decimal"/>
      <w:isLgl/>
      <w:lvlText w:val="%1.%2.%3.%4.%5.%6.%7.%8"/>
      <w:lvlJc w:val="left"/>
      <w:pPr>
        <w:ind w:left="8384" w:hanging="1800"/>
      </w:pPr>
      <w:rPr>
        <w:rFonts w:hint="default"/>
        <w:color w:val="auto"/>
      </w:rPr>
    </w:lvl>
    <w:lvl w:ilvl="8" w:tentative="0">
      <w:start w:val="1"/>
      <w:numFmt w:val="decimal"/>
      <w:isLgl/>
      <w:lvlText w:val="%1.%2.%3.%4.%5.%6.%7.%8.%9"/>
      <w:lvlJc w:val="left"/>
      <w:pPr>
        <w:ind w:left="9668" w:hanging="2160"/>
      </w:pPr>
      <w:rPr>
        <w:rFonts w:hint="default"/>
        <w:color w:val="auto"/>
      </w:rPr>
    </w:lvl>
  </w:abstractNum>
  <w:abstractNum w:abstractNumId="2">
    <w:nsid w:val="12877772"/>
    <w:multiLevelType w:val="multilevel"/>
    <w:tmpl w:val="12877772"/>
    <w:lvl w:ilvl="0" w:tentative="0">
      <w:start w:val="1"/>
      <w:numFmt w:val="decimal"/>
      <w:lvlText w:val="%1."/>
      <w:lvlJc w:val="left"/>
      <w:pPr>
        <w:ind w:left="927" w:hanging="360"/>
      </w:pPr>
      <w:rPr>
        <w:rFonts w:hint="default"/>
      </w:rPr>
    </w:lvl>
    <w:lvl w:ilvl="1" w:tentative="0">
      <w:start w:val="2"/>
      <w:numFmt w:val="decimal"/>
      <w:isLgl/>
      <w:lvlText w:val="%1.%2"/>
      <w:lvlJc w:val="left"/>
      <w:pPr>
        <w:ind w:left="1107" w:hanging="540"/>
      </w:pPr>
      <w:rPr>
        <w:rFonts w:hint="default"/>
      </w:rPr>
    </w:lvl>
    <w:lvl w:ilvl="2" w:tentative="0">
      <w:start w:val="1"/>
      <w:numFmt w:val="decimal"/>
      <w:isLgl/>
      <w:lvlText w:val="%1.%2.%3"/>
      <w:lvlJc w:val="left"/>
      <w:pPr>
        <w:ind w:left="1287" w:hanging="720"/>
      </w:pPr>
      <w:rPr>
        <w:rFonts w:hint="default"/>
      </w:rPr>
    </w:lvl>
    <w:lvl w:ilvl="3" w:tentative="0">
      <w:start w:val="1"/>
      <w:numFmt w:val="decimal"/>
      <w:isLgl/>
      <w:lvlText w:val="%1.%2.%3.%4"/>
      <w:lvlJc w:val="left"/>
      <w:pPr>
        <w:ind w:left="1647" w:hanging="1080"/>
      </w:pPr>
      <w:rPr>
        <w:rFonts w:hint="default"/>
      </w:rPr>
    </w:lvl>
    <w:lvl w:ilvl="4" w:tentative="0">
      <w:start w:val="1"/>
      <w:numFmt w:val="decimal"/>
      <w:isLgl/>
      <w:lvlText w:val="%1.%2.%3.%4.%5"/>
      <w:lvlJc w:val="left"/>
      <w:pPr>
        <w:ind w:left="1647" w:hanging="1080"/>
      </w:pPr>
      <w:rPr>
        <w:rFonts w:hint="default"/>
      </w:rPr>
    </w:lvl>
    <w:lvl w:ilvl="5" w:tentative="0">
      <w:start w:val="1"/>
      <w:numFmt w:val="decimal"/>
      <w:isLgl/>
      <w:lvlText w:val="%1.%2.%3.%4.%5.%6"/>
      <w:lvlJc w:val="left"/>
      <w:pPr>
        <w:ind w:left="2007" w:hanging="1440"/>
      </w:pPr>
      <w:rPr>
        <w:rFonts w:hint="default"/>
      </w:rPr>
    </w:lvl>
    <w:lvl w:ilvl="6" w:tentative="0">
      <w:start w:val="1"/>
      <w:numFmt w:val="decimal"/>
      <w:isLgl/>
      <w:lvlText w:val="%1.%2.%3.%4.%5.%6.%7"/>
      <w:lvlJc w:val="left"/>
      <w:pPr>
        <w:ind w:left="2007" w:hanging="1440"/>
      </w:pPr>
      <w:rPr>
        <w:rFonts w:hint="default"/>
      </w:rPr>
    </w:lvl>
    <w:lvl w:ilvl="7" w:tentative="0">
      <w:start w:val="1"/>
      <w:numFmt w:val="decimal"/>
      <w:isLgl/>
      <w:lvlText w:val="%1.%2.%3.%4.%5.%6.%7.%8"/>
      <w:lvlJc w:val="left"/>
      <w:pPr>
        <w:ind w:left="2367" w:hanging="1800"/>
      </w:pPr>
      <w:rPr>
        <w:rFonts w:hint="default"/>
      </w:rPr>
    </w:lvl>
    <w:lvl w:ilvl="8" w:tentative="0">
      <w:start w:val="1"/>
      <w:numFmt w:val="decimal"/>
      <w:isLgl/>
      <w:lvlText w:val="%1.%2.%3.%4.%5.%6.%7.%8.%9"/>
      <w:lvlJc w:val="left"/>
      <w:pPr>
        <w:ind w:left="2727" w:hanging="2160"/>
      </w:pPr>
      <w:rPr>
        <w:rFonts w:hint="default"/>
      </w:rPr>
    </w:lvl>
  </w:abstractNum>
  <w:abstractNum w:abstractNumId="3">
    <w:nsid w:val="218053EC"/>
    <w:multiLevelType w:val="multilevel"/>
    <w:tmpl w:val="218053EC"/>
    <w:lvl w:ilvl="0" w:tentative="0">
      <w:start w:val="1"/>
      <w:numFmt w:val="decimal"/>
      <w:pStyle w:val="187"/>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4">
    <w:nsid w:val="21E63BCB"/>
    <w:multiLevelType w:val="multilevel"/>
    <w:tmpl w:val="21E63BCB"/>
    <w:lvl w:ilvl="0" w:tentative="0">
      <w:start w:val="1"/>
      <w:numFmt w:val="decimal"/>
      <w:lvlText w:val="%1)"/>
      <w:lvlJc w:val="left"/>
      <w:pPr>
        <w:ind w:left="927" w:hanging="360"/>
      </w:pPr>
      <w:rPr>
        <w:rFonts w:hint="default"/>
      </w:rPr>
    </w:lvl>
    <w:lvl w:ilvl="1" w:tentative="0">
      <w:start w:val="1"/>
      <w:numFmt w:val="lowerLetter"/>
      <w:lvlText w:val="%2."/>
      <w:lvlJc w:val="left"/>
      <w:pPr>
        <w:ind w:left="1647" w:hanging="360"/>
      </w:pPr>
    </w:lvl>
    <w:lvl w:ilvl="2" w:tentative="0">
      <w:start w:val="1"/>
      <w:numFmt w:val="lowerRoman"/>
      <w:lvlText w:val="%3."/>
      <w:lvlJc w:val="right"/>
      <w:pPr>
        <w:ind w:left="2367" w:hanging="180"/>
      </w:pPr>
    </w:lvl>
    <w:lvl w:ilvl="3" w:tentative="0">
      <w:start w:val="1"/>
      <w:numFmt w:val="decimal"/>
      <w:lvlText w:val="%4."/>
      <w:lvlJc w:val="left"/>
      <w:pPr>
        <w:ind w:left="3087" w:hanging="360"/>
      </w:pPr>
    </w:lvl>
    <w:lvl w:ilvl="4" w:tentative="0">
      <w:start w:val="1"/>
      <w:numFmt w:val="lowerLetter"/>
      <w:lvlText w:val="%5."/>
      <w:lvlJc w:val="left"/>
      <w:pPr>
        <w:ind w:left="3807" w:hanging="360"/>
      </w:pPr>
    </w:lvl>
    <w:lvl w:ilvl="5" w:tentative="0">
      <w:start w:val="1"/>
      <w:numFmt w:val="lowerRoman"/>
      <w:lvlText w:val="%6."/>
      <w:lvlJc w:val="right"/>
      <w:pPr>
        <w:ind w:left="4527" w:hanging="180"/>
      </w:pPr>
    </w:lvl>
    <w:lvl w:ilvl="6" w:tentative="0">
      <w:start w:val="1"/>
      <w:numFmt w:val="decimal"/>
      <w:lvlText w:val="%7."/>
      <w:lvlJc w:val="left"/>
      <w:pPr>
        <w:ind w:left="5247" w:hanging="360"/>
      </w:pPr>
    </w:lvl>
    <w:lvl w:ilvl="7" w:tentative="0">
      <w:start w:val="1"/>
      <w:numFmt w:val="lowerLetter"/>
      <w:lvlText w:val="%8."/>
      <w:lvlJc w:val="left"/>
      <w:pPr>
        <w:ind w:left="5967" w:hanging="360"/>
      </w:pPr>
    </w:lvl>
    <w:lvl w:ilvl="8" w:tentative="0">
      <w:start w:val="1"/>
      <w:numFmt w:val="lowerRoman"/>
      <w:lvlText w:val="%9."/>
      <w:lvlJc w:val="right"/>
      <w:pPr>
        <w:ind w:left="6687" w:hanging="180"/>
      </w:pPr>
    </w:lvl>
  </w:abstractNum>
  <w:abstractNum w:abstractNumId="5">
    <w:nsid w:val="222B03E9"/>
    <w:multiLevelType w:val="multilevel"/>
    <w:tmpl w:val="222B03E9"/>
    <w:lvl w:ilvl="0" w:tentative="0">
      <w:start w:val="1"/>
      <w:numFmt w:val="bullet"/>
      <w:lvlText w:val=""/>
      <w:lvlJc w:val="left"/>
      <w:pPr>
        <w:ind w:left="1287" w:hanging="360"/>
      </w:pPr>
      <w:rPr>
        <w:rFonts w:hint="default" w:ascii="Symbol" w:hAnsi="Symbol"/>
      </w:rPr>
    </w:lvl>
    <w:lvl w:ilvl="1" w:tentative="0">
      <w:start w:val="1"/>
      <w:numFmt w:val="bullet"/>
      <w:lvlText w:val="o"/>
      <w:lvlJc w:val="left"/>
      <w:pPr>
        <w:ind w:left="2007" w:hanging="360"/>
      </w:pPr>
      <w:rPr>
        <w:rFonts w:hint="default" w:ascii="Courier New" w:hAnsi="Courier New" w:cs="Courier New"/>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6">
    <w:nsid w:val="2D8201CC"/>
    <w:multiLevelType w:val="multilevel"/>
    <w:tmpl w:val="2D8201CC"/>
    <w:lvl w:ilvl="0" w:tentative="0">
      <w:start w:val="1"/>
      <w:numFmt w:val="decimal"/>
      <w:lvlText w:val="%1."/>
      <w:lvlJc w:val="left"/>
      <w:pPr>
        <w:ind w:left="1287" w:hanging="360"/>
      </w:pPr>
      <w:rPr>
        <w:rFonts w:hint="default"/>
      </w:rPr>
    </w:lvl>
    <w:lvl w:ilvl="1" w:tentative="0">
      <w:start w:val="1"/>
      <w:numFmt w:val="bullet"/>
      <w:lvlText w:val="o"/>
      <w:lvlJc w:val="left"/>
      <w:pPr>
        <w:ind w:left="2007" w:hanging="360"/>
      </w:pPr>
      <w:rPr>
        <w:rFonts w:hint="default" w:ascii="Courier New" w:hAnsi="Courier New" w:cs="Courier New"/>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7">
    <w:nsid w:val="2DFF5840"/>
    <w:multiLevelType w:val="multilevel"/>
    <w:tmpl w:val="2DFF5840"/>
    <w:lvl w:ilvl="0" w:tentative="0">
      <w:start w:val="1"/>
      <w:numFmt w:val="decimal"/>
      <w:lvlText w:val="2.%1."/>
      <w:lvlJc w:val="left"/>
      <w:pPr>
        <w:ind w:left="1760" w:hanging="360"/>
      </w:pPr>
      <w:rPr>
        <w:rFonts w:hint="default"/>
      </w:rPr>
    </w:lvl>
    <w:lvl w:ilvl="1" w:tentative="0">
      <w:start w:val="1"/>
      <w:numFmt w:val="decimal"/>
      <w:lvlText w:val="5.%2."/>
      <w:lvlJc w:val="left"/>
      <w:pPr>
        <w:ind w:left="2480" w:hanging="360"/>
      </w:pPr>
      <w:rPr>
        <w:rFonts w:hint="default"/>
        <w:color w:val="auto"/>
      </w:rPr>
    </w:lvl>
    <w:lvl w:ilvl="2" w:tentative="0">
      <w:start w:val="1"/>
      <w:numFmt w:val="lowerRoman"/>
      <w:lvlText w:val="%3."/>
      <w:lvlJc w:val="right"/>
      <w:pPr>
        <w:ind w:left="3200" w:hanging="180"/>
      </w:pPr>
    </w:lvl>
    <w:lvl w:ilvl="3" w:tentative="0">
      <w:start w:val="1"/>
      <w:numFmt w:val="decimal"/>
      <w:lvlText w:val="%4."/>
      <w:lvlJc w:val="left"/>
      <w:pPr>
        <w:ind w:left="3920" w:hanging="360"/>
      </w:pPr>
    </w:lvl>
    <w:lvl w:ilvl="4" w:tentative="0">
      <w:start w:val="1"/>
      <w:numFmt w:val="lowerLetter"/>
      <w:lvlText w:val="%5."/>
      <w:lvlJc w:val="left"/>
      <w:pPr>
        <w:ind w:left="4640" w:hanging="360"/>
      </w:pPr>
    </w:lvl>
    <w:lvl w:ilvl="5" w:tentative="0">
      <w:start w:val="1"/>
      <w:numFmt w:val="lowerRoman"/>
      <w:lvlText w:val="%6."/>
      <w:lvlJc w:val="right"/>
      <w:pPr>
        <w:ind w:left="5360" w:hanging="180"/>
      </w:pPr>
    </w:lvl>
    <w:lvl w:ilvl="6" w:tentative="0">
      <w:start w:val="1"/>
      <w:numFmt w:val="decimal"/>
      <w:lvlText w:val="%7."/>
      <w:lvlJc w:val="left"/>
      <w:pPr>
        <w:ind w:left="6080" w:hanging="360"/>
      </w:pPr>
    </w:lvl>
    <w:lvl w:ilvl="7" w:tentative="0">
      <w:start w:val="1"/>
      <w:numFmt w:val="lowerLetter"/>
      <w:lvlText w:val="%8."/>
      <w:lvlJc w:val="left"/>
      <w:pPr>
        <w:ind w:left="6800" w:hanging="360"/>
      </w:pPr>
    </w:lvl>
    <w:lvl w:ilvl="8" w:tentative="0">
      <w:start w:val="1"/>
      <w:numFmt w:val="lowerRoman"/>
      <w:lvlText w:val="%9."/>
      <w:lvlJc w:val="right"/>
      <w:pPr>
        <w:ind w:left="7520" w:hanging="180"/>
      </w:pPr>
    </w:lvl>
  </w:abstractNum>
  <w:abstractNum w:abstractNumId="8">
    <w:nsid w:val="40A82F56"/>
    <w:multiLevelType w:val="multilevel"/>
    <w:tmpl w:val="40A82F56"/>
    <w:lvl w:ilvl="0" w:tentative="0">
      <w:start w:val="1"/>
      <w:numFmt w:val="decimal"/>
      <w:lvlText w:val="2.%1."/>
      <w:lvlJc w:val="left"/>
      <w:pPr>
        <w:ind w:left="1004" w:hanging="360"/>
      </w:pPr>
      <w:rPr>
        <w:rFonts w:hint="default"/>
      </w:rPr>
    </w:lvl>
    <w:lvl w:ilvl="1" w:tentative="0">
      <w:start w:val="1"/>
      <w:numFmt w:val="lowerLetter"/>
      <w:lvlText w:val="%2."/>
      <w:lvlJc w:val="left"/>
      <w:pPr>
        <w:ind w:left="1440" w:hanging="360"/>
      </w:pPr>
    </w:lvl>
    <w:lvl w:ilvl="2" w:tentative="0">
      <w:start w:val="1"/>
      <w:numFmt w:val="decimal"/>
      <w:lvlText w:val="2.4.%3"/>
      <w:lvlJc w:val="left"/>
      <w:pPr>
        <w:ind w:left="2160" w:hanging="180"/>
      </w:pPr>
      <w:rPr>
        <w:rFonts w:hint="default"/>
      </w:r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9">
    <w:nsid w:val="4C6A4C52"/>
    <w:multiLevelType w:val="multilevel"/>
    <w:tmpl w:val="4C6A4C52"/>
    <w:lvl w:ilvl="0" w:tentative="0">
      <w:start w:val="1"/>
      <w:numFmt w:val="bullet"/>
      <w:lvlText w:val=""/>
      <w:lvlJc w:val="left"/>
      <w:pPr>
        <w:ind w:left="1287" w:hanging="360"/>
      </w:pPr>
      <w:rPr>
        <w:rFonts w:hint="default" w:ascii="Symbol" w:hAnsi="Symbol"/>
      </w:rPr>
    </w:lvl>
    <w:lvl w:ilvl="1" w:tentative="0">
      <w:start w:val="1"/>
      <w:numFmt w:val="bullet"/>
      <w:lvlText w:val="o"/>
      <w:lvlJc w:val="left"/>
      <w:pPr>
        <w:ind w:left="2007" w:hanging="360"/>
      </w:pPr>
      <w:rPr>
        <w:rFonts w:hint="default" w:ascii="Courier New" w:hAnsi="Courier New" w:cs="Courier New"/>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10">
    <w:nsid w:val="55264790"/>
    <w:multiLevelType w:val="multilevel"/>
    <w:tmpl w:val="55264790"/>
    <w:lvl w:ilvl="0" w:tentative="0">
      <w:start w:val="1"/>
      <w:numFmt w:val="bullet"/>
      <w:lvlText w:val=""/>
      <w:lvlJc w:val="left"/>
      <w:pPr>
        <w:ind w:left="1287" w:hanging="360"/>
      </w:pPr>
      <w:rPr>
        <w:rFonts w:hint="default" w:ascii="Symbol" w:hAnsi="Symbol"/>
      </w:rPr>
    </w:lvl>
    <w:lvl w:ilvl="1" w:tentative="0">
      <w:start w:val="1"/>
      <w:numFmt w:val="bullet"/>
      <w:lvlText w:val="o"/>
      <w:lvlJc w:val="left"/>
      <w:pPr>
        <w:ind w:left="2007" w:hanging="360"/>
      </w:pPr>
      <w:rPr>
        <w:rFonts w:hint="default" w:ascii="Courier New" w:hAnsi="Courier New" w:cs="Courier New"/>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11">
    <w:nsid w:val="555E47C4"/>
    <w:multiLevelType w:val="multilevel"/>
    <w:tmpl w:val="555E47C4"/>
    <w:lvl w:ilvl="0" w:tentative="0">
      <w:start w:val="1"/>
      <w:numFmt w:val="bullet"/>
      <w:lvlText w:val=""/>
      <w:lvlJc w:val="left"/>
      <w:pPr>
        <w:ind w:left="1287" w:hanging="360"/>
      </w:pPr>
      <w:rPr>
        <w:rFonts w:hint="default" w:ascii="Symbol" w:hAnsi="Symbol"/>
      </w:rPr>
    </w:lvl>
    <w:lvl w:ilvl="1" w:tentative="0">
      <w:start w:val="1"/>
      <w:numFmt w:val="bullet"/>
      <w:lvlText w:val="o"/>
      <w:lvlJc w:val="left"/>
      <w:pPr>
        <w:ind w:left="2007" w:hanging="360"/>
      </w:pPr>
      <w:rPr>
        <w:rFonts w:hint="default" w:ascii="Courier New" w:hAnsi="Courier New" w:cs="Courier New"/>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12">
    <w:nsid w:val="58270D86"/>
    <w:multiLevelType w:val="multilevel"/>
    <w:tmpl w:val="58270D86"/>
    <w:lvl w:ilvl="0" w:tentative="0">
      <w:start w:val="1"/>
      <w:numFmt w:val="bullet"/>
      <w:lvlText w:val=""/>
      <w:lvlJc w:val="left"/>
      <w:pPr>
        <w:ind w:left="1287" w:hanging="360"/>
      </w:pPr>
      <w:rPr>
        <w:rFonts w:hint="default" w:ascii="Symbol" w:hAnsi="Symbol"/>
      </w:rPr>
    </w:lvl>
    <w:lvl w:ilvl="1" w:tentative="0">
      <w:start w:val="1"/>
      <w:numFmt w:val="bullet"/>
      <w:lvlText w:val="o"/>
      <w:lvlJc w:val="left"/>
      <w:pPr>
        <w:ind w:left="2007" w:hanging="360"/>
      </w:pPr>
      <w:rPr>
        <w:rFonts w:hint="default" w:ascii="Courier New" w:hAnsi="Courier New" w:cs="Courier New"/>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13">
    <w:nsid w:val="61A4231F"/>
    <w:multiLevelType w:val="multilevel"/>
    <w:tmpl w:val="61A4231F"/>
    <w:lvl w:ilvl="0" w:tentative="0">
      <w:start w:val="1"/>
      <w:numFmt w:val="decimal"/>
      <w:lvlText w:val="%1."/>
      <w:lvlJc w:val="left"/>
      <w:pPr>
        <w:ind w:left="1287" w:hanging="360"/>
      </w:pPr>
      <w:rPr>
        <w:rFonts w:hint="default"/>
      </w:rPr>
    </w:lvl>
    <w:lvl w:ilvl="1" w:tentative="0">
      <w:start w:val="1"/>
      <w:numFmt w:val="bullet"/>
      <w:lvlText w:val="o"/>
      <w:lvlJc w:val="left"/>
      <w:pPr>
        <w:ind w:left="2007" w:hanging="360"/>
      </w:pPr>
      <w:rPr>
        <w:rFonts w:hint="default" w:ascii="Courier New" w:hAnsi="Courier New" w:cs="Courier New"/>
      </w:rPr>
    </w:lvl>
    <w:lvl w:ilvl="2" w:tentative="0">
      <w:start w:val="1"/>
      <w:numFmt w:val="bullet"/>
      <w:lvlText w:val=""/>
      <w:lvlJc w:val="left"/>
      <w:pPr>
        <w:ind w:left="2727" w:hanging="360"/>
      </w:pPr>
      <w:rPr>
        <w:rFonts w:hint="default" w:ascii="Wingdings" w:hAnsi="Wingdings"/>
      </w:rPr>
    </w:lvl>
    <w:lvl w:ilvl="3" w:tentative="0">
      <w:start w:val="1"/>
      <w:numFmt w:val="bullet"/>
      <w:lvlText w:val=""/>
      <w:lvlJc w:val="left"/>
      <w:pPr>
        <w:ind w:left="3447" w:hanging="360"/>
      </w:pPr>
      <w:rPr>
        <w:rFonts w:hint="default" w:ascii="Symbol" w:hAnsi="Symbol"/>
      </w:rPr>
    </w:lvl>
    <w:lvl w:ilvl="4" w:tentative="0">
      <w:start w:val="1"/>
      <w:numFmt w:val="bullet"/>
      <w:lvlText w:val="o"/>
      <w:lvlJc w:val="left"/>
      <w:pPr>
        <w:ind w:left="4167" w:hanging="360"/>
      </w:pPr>
      <w:rPr>
        <w:rFonts w:hint="default" w:ascii="Courier New" w:hAnsi="Courier New" w:cs="Courier New"/>
      </w:rPr>
    </w:lvl>
    <w:lvl w:ilvl="5" w:tentative="0">
      <w:start w:val="1"/>
      <w:numFmt w:val="bullet"/>
      <w:lvlText w:val=""/>
      <w:lvlJc w:val="left"/>
      <w:pPr>
        <w:ind w:left="4887" w:hanging="360"/>
      </w:pPr>
      <w:rPr>
        <w:rFonts w:hint="default" w:ascii="Wingdings" w:hAnsi="Wingdings"/>
      </w:rPr>
    </w:lvl>
    <w:lvl w:ilvl="6" w:tentative="0">
      <w:start w:val="1"/>
      <w:numFmt w:val="bullet"/>
      <w:lvlText w:val=""/>
      <w:lvlJc w:val="left"/>
      <w:pPr>
        <w:ind w:left="5607" w:hanging="360"/>
      </w:pPr>
      <w:rPr>
        <w:rFonts w:hint="default" w:ascii="Symbol" w:hAnsi="Symbol"/>
      </w:rPr>
    </w:lvl>
    <w:lvl w:ilvl="7" w:tentative="0">
      <w:start w:val="1"/>
      <w:numFmt w:val="bullet"/>
      <w:lvlText w:val="o"/>
      <w:lvlJc w:val="left"/>
      <w:pPr>
        <w:ind w:left="6327" w:hanging="360"/>
      </w:pPr>
      <w:rPr>
        <w:rFonts w:hint="default" w:ascii="Courier New" w:hAnsi="Courier New" w:cs="Courier New"/>
      </w:rPr>
    </w:lvl>
    <w:lvl w:ilvl="8" w:tentative="0">
      <w:start w:val="1"/>
      <w:numFmt w:val="bullet"/>
      <w:lvlText w:val=""/>
      <w:lvlJc w:val="left"/>
      <w:pPr>
        <w:ind w:left="7047" w:hanging="360"/>
      </w:pPr>
      <w:rPr>
        <w:rFonts w:hint="default" w:ascii="Wingdings" w:hAnsi="Wingdings"/>
      </w:rPr>
    </w:lvl>
  </w:abstractNum>
  <w:abstractNum w:abstractNumId="14">
    <w:nsid w:val="74D0197C"/>
    <w:multiLevelType w:val="multilevel"/>
    <w:tmpl w:val="74D0197C"/>
    <w:lvl w:ilvl="0" w:tentative="0">
      <w:start w:val="1"/>
      <w:numFmt w:val="bullet"/>
      <w:lvlText w:val=""/>
      <w:lvlJc w:val="left"/>
      <w:pPr>
        <w:ind w:left="1570" w:hanging="360"/>
      </w:pPr>
      <w:rPr>
        <w:rFonts w:hint="default" w:ascii="Symbol" w:hAnsi="Symbol"/>
      </w:rPr>
    </w:lvl>
    <w:lvl w:ilvl="1" w:tentative="0">
      <w:start w:val="1"/>
      <w:numFmt w:val="bullet"/>
      <w:lvlText w:val="o"/>
      <w:lvlJc w:val="left"/>
      <w:pPr>
        <w:ind w:left="2290" w:hanging="360"/>
      </w:pPr>
      <w:rPr>
        <w:rFonts w:hint="default" w:ascii="Courier New" w:hAnsi="Courier New" w:cs="Courier New"/>
      </w:rPr>
    </w:lvl>
    <w:lvl w:ilvl="2" w:tentative="0">
      <w:start w:val="1"/>
      <w:numFmt w:val="bullet"/>
      <w:lvlText w:val=""/>
      <w:lvlJc w:val="left"/>
      <w:pPr>
        <w:ind w:left="3010" w:hanging="360"/>
      </w:pPr>
      <w:rPr>
        <w:rFonts w:hint="default" w:ascii="Wingdings" w:hAnsi="Wingdings"/>
      </w:rPr>
    </w:lvl>
    <w:lvl w:ilvl="3" w:tentative="0">
      <w:start w:val="1"/>
      <w:numFmt w:val="bullet"/>
      <w:lvlText w:val=""/>
      <w:lvlJc w:val="left"/>
      <w:pPr>
        <w:ind w:left="3730" w:hanging="360"/>
      </w:pPr>
      <w:rPr>
        <w:rFonts w:hint="default" w:ascii="Symbol" w:hAnsi="Symbol"/>
      </w:rPr>
    </w:lvl>
    <w:lvl w:ilvl="4" w:tentative="0">
      <w:start w:val="1"/>
      <w:numFmt w:val="bullet"/>
      <w:lvlText w:val="o"/>
      <w:lvlJc w:val="left"/>
      <w:pPr>
        <w:ind w:left="4450" w:hanging="360"/>
      </w:pPr>
      <w:rPr>
        <w:rFonts w:hint="default" w:ascii="Courier New" w:hAnsi="Courier New" w:cs="Courier New"/>
      </w:rPr>
    </w:lvl>
    <w:lvl w:ilvl="5" w:tentative="0">
      <w:start w:val="1"/>
      <w:numFmt w:val="bullet"/>
      <w:lvlText w:val=""/>
      <w:lvlJc w:val="left"/>
      <w:pPr>
        <w:ind w:left="5170" w:hanging="360"/>
      </w:pPr>
      <w:rPr>
        <w:rFonts w:hint="default" w:ascii="Wingdings" w:hAnsi="Wingdings"/>
      </w:rPr>
    </w:lvl>
    <w:lvl w:ilvl="6" w:tentative="0">
      <w:start w:val="1"/>
      <w:numFmt w:val="bullet"/>
      <w:lvlText w:val=""/>
      <w:lvlJc w:val="left"/>
      <w:pPr>
        <w:ind w:left="5890" w:hanging="360"/>
      </w:pPr>
      <w:rPr>
        <w:rFonts w:hint="default" w:ascii="Symbol" w:hAnsi="Symbol"/>
      </w:rPr>
    </w:lvl>
    <w:lvl w:ilvl="7" w:tentative="0">
      <w:start w:val="1"/>
      <w:numFmt w:val="bullet"/>
      <w:lvlText w:val="o"/>
      <w:lvlJc w:val="left"/>
      <w:pPr>
        <w:ind w:left="6610" w:hanging="360"/>
      </w:pPr>
      <w:rPr>
        <w:rFonts w:hint="default" w:ascii="Courier New" w:hAnsi="Courier New" w:cs="Courier New"/>
      </w:rPr>
    </w:lvl>
    <w:lvl w:ilvl="8" w:tentative="0">
      <w:start w:val="1"/>
      <w:numFmt w:val="bullet"/>
      <w:lvlText w:val=""/>
      <w:lvlJc w:val="left"/>
      <w:pPr>
        <w:ind w:left="7330" w:hanging="360"/>
      </w:pPr>
      <w:rPr>
        <w:rFonts w:hint="default" w:ascii="Wingdings" w:hAnsi="Wingdings"/>
      </w:rPr>
    </w:lvl>
  </w:abstractNum>
  <w:num w:numId="1">
    <w:abstractNumId w:val="3"/>
  </w:num>
  <w:num w:numId="2">
    <w:abstractNumId w:val="1"/>
  </w:num>
  <w:num w:numId="3">
    <w:abstractNumId w:val="9"/>
  </w:num>
  <w:num w:numId="4">
    <w:abstractNumId w:val="8"/>
  </w:num>
  <w:num w:numId="5">
    <w:abstractNumId w:val="0"/>
  </w:num>
  <w:num w:numId="6">
    <w:abstractNumId w:val="7"/>
  </w:num>
  <w:num w:numId="7">
    <w:abstractNumId w:val="2"/>
  </w:num>
  <w:num w:numId="8">
    <w:abstractNumId w:val="14"/>
  </w:num>
  <w:num w:numId="9">
    <w:abstractNumId w:val="10"/>
  </w:num>
  <w:num w:numId="10">
    <w:abstractNumId w:val="5"/>
  </w:num>
  <w:num w:numId="11">
    <w:abstractNumId w:val="4"/>
  </w:num>
  <w:num w:numId="12">
    <w:abstractNumId w:val="11"/>
  </w:num>
  <w:num w:numId="13">
    <w:abstractNumId w:val="6"/>
  </w:num>
  <w:num w:numId="14">
    <w:abstractNumId w:val="12"/>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hideSpellingErrors/>
  <w:documentProtection w:enforcement="0"/>
  <w:defaultTabStop w:val="720"/>
  <w:drawingGridHorizontalSpacing w:val="110"/>
  <w:displayHorizontalDrawingGridEvery w:val="2"/>
  <w:characterSpacingControl w:val="doNotCompress"/>
  <w:compat>
    <w:ulTrailSpac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5C5E"/>
    <w:rsid w:val="00000562"/>
    <w:rsid w:val="00000A43"/>
    <w:rsid w:val="000016CC"/>
    <w:rsid w:val="00001740"/>
    <w:rsid w:val="00002CA8"/>
    <w:rsid w:val="00003018"/>
    <w:rsid w:val="0000322D"/>
    <w:rsid w:val="00004F37"/>
    <w:rsid w:val="00005942"/>
    <w:rsid w:val="00005DB3"/>
    <w:rsid w:val="00006348"/>
    <w:rsid w:val="000066D8"/>
    <w:rsid w:val="00007618"/>
    <w:rsid w:val="0000765A"/>
    <w:rsid w:val="00007C86"/>
    <w:rsid w:val="00010B7C"/>
    <w:rsid w:val="000110D1"/>
    <w:rsid w:val="00012222"/>
    <w:rsid w:val="00013BDD"/>
    <w:rsid w:val="00013C74"/>
    <w:rsid w:val="000142E6"/>
    <w:rsid w:val="0001437C"/>
    <w:rsid w:val="00014429"/>
    <w:rsid w:val="0001504D"/>
    <w:rsid w:val="00017005"/>
    <w:rsid w:val="000172D0"/>
    <w:rsid w:val="00020282"/>
    <w:rsid w:val="00020295"/>
    <w:rsid w:val="00020765"/>
    <w:rsid w:val="00020BF7"/>
    <w:rsid w:val="00021BAB"/>
    <w:rsid w:val="00021F08"/>
    <w:rsid w:val="00021F30"/>
    <w:rsid w:val="00022BE7"/>
    <w:rsid w:val="0002473A"/>
    <w:rsid w:val="00025D2E"/>
    <w:rsid w:val="00025DB3"/>
    <w:rsid w:val="00027065"/>
    <w:rsid w:val="00027C6D"/>
    <w:rsid w:val="00027DAD"/>
    <w:rsid w:val="0003018A"/>
    <w:rsid w:val="00032C68"/>
    <w:rsid w:val="00033757"/>
    <w:rsid w:val="000340B0"/>
    <w:rsid w:val="000372E1"/>
    <w:rsid w:val="00040C7D"/>
    <w:rsid w:val="000413DC"/>
    <w:rsid w:val="00041702"/>
    <w:rsid w:val="00041B9C"/>
    <w:rsid w:val="00041C3F"/>
    <w:rsid w:val="00042E37"/>
    <w:rsid w:val="000439E6"/>
    <w:rsid w:val="00044016"/>
    <w:rsid w:val="0004575D"/>
    <w:rsid w:val="00046834"/>
    <w:rsid w:val="00047F92"/>
    <w:rsid w:val="00050B7D"/>
    <w:rsid w:val="00051D1C"/>
    <w:rsid w:val="00051FE3"/>
    <w:rsid w:val="00052122"/>
    <w:rsid w:val="00053088"/>
    <w:rsid w:val="00054036"/>
    <w:rsid w:val="0005541D"/>
    <w:rsid w:val="0005566B"/>
    <w:rsid w:val="00055E73"/>
    <w:rsid w:val="00056529"/>
    <w:rsid w:val="00057C22"/>
    <w:rsid w:val="000602E6"/>
    <w:rsid w:val="000606D9"/>
    <w:rsid w:val="00061CE5"/>
    <w:rsid w:val="0006223A"/>
    <w:rsid w:val="00063577"/>
    <w:rsid w:val="000642CB"/>
    <w:rsid w:val="00064498"/>
    <w:rsid w:val="00065213"/>
    <w:rsid w:val="00065402"/>
    <w:rsid w:val="00066E93"/>
    <w:rsid w:val="00067D01"/>
    <w:rsid w:val="00071083"/>
    <w:rsid w:val="00071419"/>
    <w:rsid w:val="0007187F"/>
    <w:rsid w:val="00071C0E"/>
    <w:rsid w:val="0007309A"/>
    <w:rsid w:val="000734BC"/>
    <w:rsid w:val="000741CE"/>
    <w:rsid w:val="00074B9E"/>
    <w:rsid w:val="0007611B"/>
    <w:rsid w:val="000776D9"/>
    <w:rsid w:val="00081D58"/>
    <w:rsid w:val="0008208B"/>
    <w:rsid w:val="00082978"/>
    <w:rsid w:val="00084CBB"/>
    <w:rsid w:val="00086D58"/>
    <w:rsid w:val="000873BE"/>
    <w:rsid w:val="00087518"/>
    <w:rsid w:val="00091A8C"/>
    <w:rsid w:val="000920B5"/>
    <w:rsid w:val="000948C6"/>
    <w:rsid w:val="000949F3"/>
    <w:rsid w:val="00094C20"/>
    <w:rsid w:val="00094CB1"/>
    <w:rsid w:val="00094F24"/>
    <w:rsid w:val="000956CA"/>
    <w:rsid w:val="0009575C"/>
    <w:rsid w:val="00096501"/>
    <w:rsid w:val="0009651E"/>
    <w:rsid w:val="0009665C"/>
    <w:rsid w:val="0009769D"/>
    <w:rsid w:val="000A004E"/>
    <w:rsid w:val="000A149E"/>
    <w:rsid w:val="000A1BC9"/>
    <w:rsid w:val="000A337A"/>
    <w:rsid w:val="000A3CCB"/>
    <w:rsid w:val="000A472B"/>
    <w:rsid w:val="000A5DD3"/>
    <w:rsid w:val="000A62E5"/>
    <w:rsid w:val="000A6C1A"/>
    <w:rsid w:val="000A7BD2"/>
    <w:rsid w:val="000B159D"/>
    <w:rsid w:val="000B2581"/>
    <w:rsid w:val="000B25FF"/>
    <w:rsid w:val="000B37E8"/>
    <w:rsid w:val="000B3D1D"/>
    <w:rsid w:val="000B5266"/>
    <w:rsid w:val="000B5AB2"/>
    <w:rsid w:val="000B60C5"/>
    <w:rsid w:val="000B682C"/>
    <w:rsid w:val="000B757C"/>
    <w:rsid w:val="000C0C3F"/>
    <w:rsid w:val="000C0C42"/>
    <w:rsid w:val="000C1BB0"/>
    <w:rsid w:val="000C1CB0"/>
    <w:rsid w:val="000C22F5"/>
    <w:rsid w:val="000C3144"/>
    <w:rsid w:val="000C3C87"/>
    <w:rsid w:val="000C3FE2"/>
    <w:rsid w:val="000C4519"/>
    <w:rsid w:val="000C4E46"/>
    <w:rsid w:val="000C7351"/>
    <w:rsid w:val="000C7752"/>
    <w:rsid w:val="000C7E80"/>
    <w:rsid w:val="000D02F3"/>
    <w:rsid w:val="000D080E"/>
    <w:rsid w:val="000D2320"/>
    <w:rsid w:val="000D3341"/>
    <w:rsid w:val="000D411C"/>
    <w:rsid w:val="000D4A32"/>
    <w:rsid w:val="000D4DC5"/>
    <w:rsid w:val="000D5202"/>
    <w:rsid w:val="000D61E3"/>
    <w:rsid w:val="000D6F0B"/>
    <w:rsid w:val="000D74C4"/>
    <w:rsid w:val="000E1194"/>
    <w:rsid w:val="000E139B"/>
    <w:rsid w:val="000E29BB"/>
    <w:rsid w:val="000E3730"/>
    <w:rsid w:val="000E5B33"/>
    <w:rsid w:val="000E742D"/>
    <w:rsid w:val="000E77BF"/>
    <w:rsid w:val="000E7BCC"/>
    <w:rsid w:val="000F1091"/>
    <w:rsid w:val="000F1221"/>
    <w:rsid w:val="000F44FF"/>
    <w:rsid w:val="000F6636"/>
    <w:rsid w:val="000F6960"/>
    <w:rsid w:val="000F69EB"/>
    <w:rsid w:val="000F795F"/>
    <w:rsid w:val="00100211"/>
    <w:rsid w:val="001012AA"/>
    <w:rsid w:val="00102374"/>
    <w:rsid w:val="0010281B"/>
    <w:rsid w:val="00102BFE"/>
    <w:rsid w:val="001058D5"/>
    <w:rsid w:val="00106967"/>
    <w:rsid w:val="001069D8"/>
    <w:rsid w:val="0011005F"/>
    <w:rsid w:val="00110778"/>
    <w:rsid w:val="00110A8B"/>
    <w:rsid w:val="00110D1B"/>
    <w:rsid w:val="00114CD0"/>
    <w:rsid w:val="0011713A"/>
    <w:rsid w:val="00117FF1"/>
    <w:rsid w:val="00120AE2"/>
    <w:rsid w:val="0012126C"/>
    <w:rsid w:val="001230EE"/>
    <w:rsid w:val="00123D03"/>
    <w:rsid w:val="001243A5"/>
    <w:rsid w:val="00124663"/>
    <w:rsid w:val="00124F12"/>
    <w:rsid w:val="0012714F"/>
    <w:rsid w:val="00130773"/>
    <w:rsid w:val="00132064"/>
    <w:rsid w:val="00132433"/>
    <w:rsid w:val="00132FDE"/>
    <w:rsid w:val="00134E0B"/>
    <w:rsid w:val="001357CD"/>
    <w:rsid w:val="00136180"/>
    <w:rsid w:val="001376CB"/>
    <w:rsid w:val="00137F09"/>
    <w:rsid w:val="00137FEF"/>
    <w:rsid w:val="001401FA"/>
    <w:rsid w:val="001403DB"/>
    <w:rsid w:val="001414D9"/>
    <w:rsid w:val="00141858"/>
    <w:rsid w:val="00141A5D"/>
    <w:rsid w:val="00141A97"/>
    <w:rsid w:val="00141E5E"/>
    <w:rsid w:val="00142149"/>
    <w:rsid w:val="00143AB8"/>
    <w:rsid w:val="00143C3A"/>
    <w:rsid w:val="00144907"/>
    <w:rsid w:val="00144A61"/>
    <w:rsid w:val="00144E70"/>
    <w:rsid w:val="00145638"/>
    <w:rsid w:val="00145E29"/>
    <w:rsid w:val="0014600B"/>
    <w:rsid w:val="0014690F"/>
    <w:rsid w:val="001472E5"/>
    <w:rsid w:val="0015021A"/>
    <w:rsid w:val="00151617"/>
    <w:rsid w:val="0015180E"/>
    <w:rsid w:val="00152302"/>
    <w:rsid w:val="00152531"/>
    <w:rsid w:val="00153D4C"/>
    <w:rsid w:val="00154910"/>
    <w:rsid w:val="00154BAB"/>
    <w:rsid w:val="00154DDA"/>
    <w:rsid w:val="00154DF3"/>
    <w:rsid w:val="00155051"/>
    <w:rsid w:val="00155982"/>
    <w:rsid w:val="00155BB0"/>
    <w:rsid w:val="00156C2C"/>
    <w:rsid w:val="00156C9F"/>
    <w:rsid w:val="00157548"/>
    <w:rsid w:val="00160D0B"/>
    <w:rsid w:val="0016184A"/>
    <w:rsid w:val="001623F1"/>
    <w:rsid w:val="00162A12"/>
    <w:rsid w:val="00162C98"/>
    <w:rsid w:val="00162E9C"/>
    <w:rsid w:val="0016350F"/>
    <w:rsid w:val="001643D0"/>
    <w:rsid w:val="001645E9"/>
    <w:rsid w:val="00164ED9"/>
    <w:rsid w:val="001652E4"/>
    <w:rsid w:val="001661FA"/>
    <w:rsid w:val="00166298"/>
    <w:rsid w:val="00166C0F"/>
    <w:rsid w:val="001674AB"/>
    <w:rsid w:val="00170329"/>
    <w:rsid w:val="00170475"/>
    <w:rsid w:val="0017055C"/>
    <w:rsid w:val="00170B5C"/>
    <w:rsid w:val="00171200"/>
    <w:rsid w:val="001716A0"/>
    <w:rsid w:val="00171737"/>
    <w:rsid w:val="00171D05"/>
    <w:rsid w:val="00171E0F"/>
    <w:rsid w:val="00172C42"/>
    <w:rsid w:val="00173078"/>
    <w:rsid w:val="001746EA"/>
    <w:rsid w:val="00174C78"/>
    <w:rsid w:val="00175275"/>
    <w:rsid w:val="00176E74"/>
    <w:rsid w:val="001801A6"/>
    <w:rsid w:val="00183FC4"/>
    <w:rsid w:val="0018443A"/>
    <w:rsid w:val="0018472C"/>
    <w:rsid w:val="00184DBD"/>
    <w:rsid w:val="001869C5"/>
    <w:rsid w:val="0018741D"/>
    <w:rsid w:val="00187C5F"/>
    <w:rsid w:val="00187D16"/>
    <w:rsid w:val="00191368"/>
    <w:rsid w:val="00191BA9"/>
    <w:rsid w:val="00194B33"/>
    <w:rsid w:val="00195E48"/>
    <w:rsid w:val="00196214"/>
    <w:rsid w:val="00196265"/>
    <w:rsid w:val="001A07DB"/>
    <w:rsid w:val="001A0E31"/>
    <w:rsid w:val="001A0F80"/>
    <w:rsid w:val="001A431B"/>
    <w:rsid w:val="001A5145"/>
    <w:rsid w:val="001A5441"/>
    <w:rsid w:val="001A62A8"/>
    <w:rsid w:val="001A630B"/>
    <w:rsid w:val="001A6A58"/>
    <w:rsid w:val="001A7CF0"/>
    <w:rsid w:val="001B0C9D"/>
    <w:rsid w:val="001B1F03"/>
    <w:rsid w:val="001B213C"/>
    <w:rsid w:val="001B2780"/>
    <w:rsid w:val="001B2B12"/>
    <w:rsid w:val="001B2CA1"/>
    <w:rsid w:val="001B36FF"/>
    <w:rsid w:val="001B459F"/>
    <w:rsid w:val="001B4B0D"/>
    <w:rsid w:val="001B5702"/>
    <w:rsid w:val="001B5747"/>
    <w:rsid w:val="001C0F6D"/>
    <w:rsid w:val="001C1F8F"/>
    <w:rsid w:val="001C4C97"/>
    <w:rsid w:val="001C5232"/>
    <w:rsid w:val="001C74C3"/>
    <w:rsid w:val="001D23D2"/>
    <w:rsid w:val="001D4869"/>
    <w:rsid w:val="001D5479"/>
    <w:rsid w:val="001D5DAA"/>
    <w:rsid w:val="001D6B8B"/>
    <w:rsid w:val="001D6CBE"/>
    <w:rsid w:val="001E0FD2"/>
    <w:rsid w:val="001E25DC"/>
    <w:rsid w:val="001E2CC6"/>
    <w:rsid w:val="001E2DA3"/>
    <w:rsid w:val="001E322A"/>
    <w:rsid w:val="001E3492"/>
    <w:rsid w:val="001E378B"/>
    <w:rsid w:val="001E3D0E"/>
    <w:rsid w:val="001E46BE"/>
    <w:rsid w:val="001E4D32"/>
    <w:rsid w:val="001E5319"/>
    <w:rsid w:val="001E61DD"/>
    <w:rsid w:val="001E63E4"/>
    <w:rsid w:val="001E697E"/>
    <w:rsid w:val="001E73F1"/>
    <w:rsid w:val="001F06E1"/>
    <w:rsid w:val="001F0ACA"/>
    <w:rsid w:val="001F1566"/>
    <w:rsid w:val="001F23CD"/>
    <w:rsid w:val="001F2EAB"/>
    <w:rsid w:val="001F56A8"/>
    <w:rsid w:val="001F5E00"/>
    <w:rsid w:val="001F6896"/>
    <w:rsid w:val="001F6F7C"/>
    <w:rsid w:val="001F702F"/>
    <w:rsid w:val="001F7500"/>
    <w:rsid w:val="001F768F"/>
    <w:rsid w:val="00200C53"/>
    <w:rsid w:val="0020255C"/>
    <w:rsid w:val="00204942"/>
    <w:rsid w:val="002052DD"/>
    <w:rsid w:val="00205E95"/>
    <w:rsid w:val="002069C7"/>
    <w:rsid w:val="00206B30"/>
    <w:rsid w:val="00207220"/>
    <w:rsid w:val="00210260"/>
    <w:rsid w:val="00210D8C"/>
    <w:rsid w:val="00211B84"/>
    <w:rsid w:val="00212D90"/>
    <w:rsid w:val="002145DE"/>
    <w:rsid w:val="00214AF7"/>
    <w:rsid w:val="00215FE1"/>
    <w:rsid w:val="002166AE"/>
    <w:rsid w:val="002174F2"/>
    <w:rsid w:val="00217B99"/>
    <w:rsid w:val="00217E32"/>
    <w:rsid w:val="002202FD"/>
    <w:rsid w:val="002210F9"/>
    <w:rsid w:val="00221403"/>
    <w:rsid w:val="00221715"/>
    <w:rsid w:val="00222EBB"/>
    <w:rsid w:val="002232D5"/>
    <w:rsid w:val="002244EA"/>
    <w:rsid w:val="00224FC5"/>
    <w:rsid w:val="00225125"/>
    <w:rsid w:val="00225699"/>
    <w:rsid w:val="00225E55"/>
    <w:rsid w:val="002305A3"/>
    <w:rsid w:val="00230895"/>
    <w:rsid w:val="00231BE3"/>
    <w:rsid w:val="002346A6"/>
    <w:rsid w:val="002365FC"/>
    <w:rsid w:val="0023795B"/>
    <w:rsid w:val="00240BCD"/>
    <w:rsid w:val="00240C48"/>
    <w:rsid w:val="00240D80"/>
    <w:rsid w:val="002426D1"/>
    <w:rsid w:val="0024685D"/>
    <w:rsid w:val="0024691F"/>
    <w:rsid w:val="00247382"/>
    <w:rsid w:val="002473E2"/>
    <w:rsid w:val="00250613"/>
    <w:rsid w:val="00250AF5"/>
    <w:rsid w:val="00250BFE"/>
    <w:rsid w:val="00252A68"/>
    <w:rsid w:val="00253E4F"/>
    <w:rsid w:val="002540BD"/>
    <w:rsid w:val="002541C2"/>
    <w:rsid w:val="00254C15"/>
    <w:rsid w:val="00254DAD"/>
    <w:rsid w:val="00255234"/>
    <w:rsid w:val="00255CA8"/>
    <w:rsid w:val="00256F84"/>
    <w:rsid w:val="0025721A"/>
    <w:rsid w:val="00257931"/>
    <w:rsid w:val="002606BC"/>
    <w:rsid w:val="0026264D"/>
    <w:rsid w:val="00263090"/>
    <w:rsid w:val="00263989"/>
    <w:rsid w:val="00264E68"/>
    <w:rsid w:val="00266919"/>
    <w:rsid w:val="002674AB"/>
    <w:rsid w:val="00267D2F"/>
    <w:rsid w:val="0027069C"/>
    <w:rsid w:val="00271288"/>
    <w:rsid w:val="00271624"/>
    <w:rsid w:val="002719F7"/>
    <w:rsid w:val="002726DD"/>
    <w:rsid w:val="00272D19"/>
    <w:rsid w:val="00274577"/>
    <w:rsid w:val="00274887"/>
    <w:rsid w:val="00274A08"/>
    <w:rsid w:val="00275C18"/>
    <w:rsid w:val="00276411"/>
    <w:rsid w:val="00277B8D"/>
    <w:rsid w:val="00281E96"/>
    <w:rsid w:val="00283290"/>
    <w:rsid w:val="00283EA1"/>
    <w:rsid w:val="00284000"/>
    <w:rsid w:val="002842EC"/>
    <w:rsid w:val="002845A8"/>
    <w:rsid w:val="00285434"/>
    <w:rsid w:val="00286967"/>
    <w:rsid w:val="00286D08"/>
    <w:rsid w:val="00291286"/>
    <w:rsid w:val="002918C0"/>
    <w:rsid w:val="0029216E"/>
    <w:rsid w:val="002921C6"/>
    <w:rsid w:val="00293385"/>
    <w:rsid w:val="00293587"/>
    <w:rsid w:val="00294BDE"/>
    <w:rsid w:val="00294C3C"/>
    <w:rsid w:val="00294C75"/>
    <w:rsid w:val="002952B9"/>
    <w:rsid w:val="0029646D"/>
    <w:rsid w:val="00296865"/>
    <w:rsid w:val="0029691B"/>
    <w:rsid w:val="00297A32"/>
    <w:rsid w:val="002A1334"/>
    <w:rsid w:val="002A20D5"/>
    <w:rsid w:val="002A4D44"/>
    <w:rsid w:val="002A50E6"/>
    <w:rsid w:val="002A5691"/>
    <w:rsid w:val="002A6116"/>
    <w:rsid w:val="002A6A57"/>
    <w:rsid w:val="002B38F3"/>
    <w:rsid w:val="002B44E7"/>
    <w:rsid w:val="002B4821"/>
    <w:rsid w:val="002B4953"/>
    <w:rsid w:val="002B5418"/>
    <w:rsid w:val="002B5576"/>
    <w:rsid w:val="002B668D"/>
    <w:rsid w:val="002C0B27"/>
    <w:rsid w:val="002C0F1A"/>
    <w:rsid w:val="002C1AE7"/>
    <w:rsid w:val="002C2181"/>
    <w:rsid w:val="002C2862"/>
    <w:rsid w:val="002C2930"/>
    <w:rsid w:val="002C349A"/>
    <w:rsid w:val="002C41D5"/>
    <w:rsid w:val="002C44B7"/>
    <w:rsid w:val="002C4573"/>
    <w:rsid w:val="002C4734"/>
    <w:rsid w:val="002C5CA6"/>
    <w:rsid w:val="002C7405"/>
    <w:rsid w:val="002D0392"/>
    <w:rsid w:val="002D0F56"/>
    <w:rsid w:val="002D1084"/>
    <w:rsid w:val="002D290A"/>
    <w:rsid w:val="002D3245"/>
    <w:rsid w:val="002D4390"/>
    <w:rsid w:val="002D4E53"/>
    <w:rsid w:val="002D54D7"/>
    <w:rsid w:val="002D6912"/>
    <w:rsid w:val="002D72EF"/>
    <w:rsid w:val="002D7468"/>
    <w:rsid w:val="002D797A"/>
    <w:rsid w:val="002D7B87"/>
    <w:rsid w:val="002E1316"/>
    <w:rsid w:val="002E148C"/>
    <w:rsid w:val="002E1D5C"/>
    <w:rsid w:val="002E2BE3"/>
    <w:rsid w:val="002E312F"/>
    <w:rsid w:val="002E48B9"/>
    <w:rsid w:val="002E4FD4"/>
    <w:rsid w:val="002E7E64"/>
    <w:rsid w:val="002F1D81"/>
    <w:rsid w:val="002F22FA"/>
    <w:rsid w:val="002F3132"/>
    <w:rsid w:val="002F358F"/>
    <w:rsid w:val="002F49CB"/>
    <w:rsid w:val="002F6A48"/>
    <w:rsid w:val="002F74C8"/>
    <w:rsid w:val="00300017"/>
    <w:rsid w:val="00300775"/>
    <w:rsid w:val="00301E42"/>
    <w:rsid w:val="00302285"/>
    <w:rsid w:val="00303188"/>
    <w:rsid w:val="003040FE"/>
    <w:rsid w:val="00304691"/>
    <w:rsid w:val="00304A32"/>
    <w:rsid w:val="00305096"/>
    <w:rsid w:val="00305EB2"/>
    <w:rsid w:val="003074AD"/>
    <w:rsid w:val="0030776D"/>
    <w:rsid w:val="00307F27"/>
    <w:rsid w:val="0031026C"/>
    <w:rsid w:val="0031027B"/>
    <w:rsid w:val="00310393"/>
    <w:rsid w:val="00311977"/>
    <w:rsid w:val="00311993"/>
    <w:rsid w:val="003119B6"/>
    <w:rsid w:val="00313403"/>
    <w:rsid w:val="00314B08"/>
    <w:rsid w:val="00314D76"/>
    <w:rsid w:val="00315183"/>
    <w:rsid w:val="00315DAB"/>
    <w:rsid w:val="00317070"/>
    <w:rsid w:val="00317285"/>
    <w:rsid w:val="0031777D"/>
    <w:rsid w:val="00320286"/>
    <w:rsid w:val="00320544"/>
    <w:rsid w:val="00320F93"/>
    <w:rsid w:val="0032352A"/>
    <w:rsid w:val="00323F5F"/>
    <w:rsid w:val="0032468F"/>
    <w:rsid w:val="00324FCF"/>
    <w:rsid w:val="0032524F"/>
    <w:rsid w:val="0032528D"/>
    <w:rsid w:val="00325783"/>
    <w:rsid w:val="00325DEA"/>
    <w:rsid w:val="00327194"/>
    <w:rsid w:val="003271FE"/>
    <w:rsid w:val="003272B7"/>
    <w:rsid w:val="00330523"/>
    <w:rsid w:val="00331919"/>
    <w:rsid w:val="00332915"/>
    <w:rsid w:val="00333409"/>
    <w:rsid w:val="00334BE7"/>
    <w:rsid w:val="00334DEF"/>
    <w:rsid w:val="0033565E"/>
    <w:rsid w:val="0033595E"/>
    <w:rsid w:val="003361CF"/>
    <w:rsid w:val="003379FC"/>
    <w:rsid w:val="00337A39"/>
    <w:rsid w:val="003404B9"/>
    <w:rsid w:val="00340EA5"/>
    <w:rsid w:val="003411CA"/>
    <w:rsid w:val="003414CD"/>
    <w:rsid w:val="00341586"/>
    <w:rsid w:val="00342596"/>
    <w:rsid w:val="00342687"/>
    <w:rsid w:val="00343E2A"/>
    <w:rsid w:val="003447FA"/>
    <w:rsid w:val="00345BA9"/>
    <w:rsid w:val="00345F1D"/>
    <w:rsid w:val="00347C4C"/>
    <w:rsid w:val="003504D5"/>
    <w:rsid w:val="00350D4C"/>
    <w:rsid w:val="00351142"/>
    <w:rsid w:val="00351E9F"/>
    <w:rsid w:val="00352C9D"/>
    <w:rsid w:val="00353AB7"/>
    <w:rsid w:val="00353DE4"/>
    <w:rsid w:val="00353EB1"/>
    <w:rsid w:val="00354506"/>
    <w:rsid w:val="003547A7"/>
    <w:rsid w:val="003549DA"/>
    <w:rsid w:val="00354A75"/>
    <w:rsid w:val="00356764"/>
    <w:rsid w:val="003573FE"/>
    <w:rsid w:val="00357F7D"/>
    <w:rsid w:val="00360090"/>
    <w:rsid w:val="00360781"/>
    <w:rsid w:val="00360B3E"/>
    <w:rsid w:val="00360E1C"/>
    <w:rsid w:val="003616D0"/>
    <w:rsid w:val="00361D94"/>
    <w:rsid w:val="003629FF"/>
    <w:rsid w:val="0036451C"/>
    <w:rsid w:val="003654EB"/>
    <w:rsid w:val="00367C9D"/>
    <w:rsid w:val="0037044B"/>
    <w:rsid w:val="0037081F"/>
    <w:rsid w:val="00370D99"/>
    <w:rsid w:val="00371732"/>
    <w:rsid w:val="00371EB0"/>
    <w:rsid w:val="00372440"/>
    <w:rsid w:val="00375599"/>
    <w:rsid w:val="003756AA"/>
    <w:rsid w:val="00375D21"/>
    <w:rsid w:val="00376842"/>
    <w:rsid w:val="003775A1"/>
    <w:rsid w:val="00377C9B"/>
    <w:rsid w:val="00377ED6"/>
    <w:rsid w:val="003806F5"/>
    <w:rsid w:val="00381069"/>
    <w:rsid w:val="00383570"/>
    <w:rsid w:val="00383BEC"/>
    <w:rsid w:val="003848B4"/>
    <w:rsid w:val="00384BCC"/>
    <w:rsid w:val="0038528A"/>
    <w:rsid w:val="00385986"/>
    <w:rsid w:val="00387F54"/>
    <w:rsid w:val="00390A0B"/>
    <w:rsid w:val="00390E92"/>
    <w:rsid w:val="0039382F"/>
    <w:rsid w:val="00394441"/>
    <w:rsid w:val="00395793"/>
    <w:rsid w:val="003A07E4"/>
    <w:rsid w:val="003A17B6"/>
    <w:rsid w:val="003A2657"/>
    <w:rsid w:val="003A3CF1"/>
    <w:rsid w:val="003A576A"/>
    <w:rsid w:val="003A6AD3"/>
    <w:rsid w:val="003A6F8C"/>
    <w:rsid w:val="003A7546"/>
    <w:rsid w:val="003A7998"/>
    <w:rsid w:val="003A7BBE"/>
    <w:rsid w:val="003B0450"/>
    <w:rsid w:val="003B062B"/>
    <w:rsid w:val="003B0953"/>
    <w:rsid w:val="003B0E7B"/>
    <w:rsid w:val="003B2466"/>
    <w:rsid w:val="003B280A"/>
    <w:rsid w:val="003B2975"/>
    <w:rsid w:val="003B3591"/>
    <w:rsid w:val="003B3B03"/>
    <w:rsid w:val="003B53D7"/>
    <w:rsid w:val="003B5DE0"/>
    <w:rsid w:val="003B6255"/>
    <w:rsid w:val="003B7244"/>
    <w:rsid w:val="003C0753"/>
    <w:rsid w:val="003C1792"/>
    <w:rsid w:val="003C39AE"/>
    <w:rsid w:val="003C452F"/>
    <w:rsid w:val="003C5F24"/>
    <w:rsid w:val="003C78BE"/>
    <w:rsid w:val="003D1DE1"/>
    <w:rsid w:val="003D31E1"/>
    <w:rsid w:val="003D3931"/>
    <w:rsid w:val="003D3EB8"/>
    <w:rsid w:val="003D425F"/>
    <w:rsid w:val="003D591C"/>
    <w:rsid w:val="003D6FE8"/>
    <w:rsid w:val="003D763E"/>
    <w:rsid w:val="003D7E14"/>
    <w:rsid w:val="003E01AC"/>
    <w:rsid w:val="003E0FCB"/>
    <w:rsid w:val="003E1276"/>
    <w:rsid w:val="003E16FD"/>
    <w:rsid w:val="003E2356"/>
    <w:rsid w:val="003E2388"/>
    <w:rsid w:val="003E2A0A"/>
    <w:rsid w:val="003E3082"/>
    <w:rsid w:val="003E4477"/>
    <w:rsid w:val="003E4F3C"/>
    <w:rsid w:val="003E5443"/>
    <w:rsid w:val="003E622B"/>
    <w:rsid w:val="003E714C"/>
    <w:rsid w:val="003E77F7"/>
    <w:rsid w:val="003F0848"/>
    <w:rsid w:val="003F1336"/>
    <w:rsid w:val="003F1415"/>
    <w:rsid w:val="003F2BC2"/>
    <w:rsid w:val="003F3330"/>
    <w:rsid w:val="003F333C"/>
    <w:rsid w:val="003F3BB8"/>
    <w:rsid w:val="003F3BC2"/>
    <w:rsid w:val="003F4868"/>
    <w:rsid w:val="003F50B2"/>
    <w:rsid w:val="003F5696"/>
    <w:rsid w:val="00400103"/>
    <w:rsid w:val="00400813"/>
    <w:rsid w:val="00400E60"/>
    <w:rsid w:val="004013E0"/>
    <w:rsid w:val="004024E3"/>
    <w:rsid w:val="00402C9B"/>
    <w:rsid w:val="004043C2"/>
    <w:rsid w:val="00404700"/>
    <w:rsid w:val="00404A26"/>
    <w:rsid w:val="0040610E"/>
    <w:rsid w:val="00406D0E"/>
    <w:rsid w:val="004072EA"/>
    <w:rsid w:val="004100DA"/>
    <w:rsid w:val="00410533"/>
    <w:rsid w:val="00410697"/>
    <w:rsid w:val="0041114A"/>
    <w:rsid w:val="00412237"/>
    <w:rsid w:val="0041287B"/>
    <w:rsid w:val="00414422"/>
    <w:rsid w:val="004152E4"/>
    <w:rsid w:val="00415F26"/>
    <w:rsid w:val="00416CF7"/>
    <w:rsid w:val="004174B5"/>
    <w:rsid w:val="004204D7"/>
    <w:rsid w:val="0042062C"/>
    <w:rsid w:val="00420D93"/>
    <w:rsid w:val="00421F0F"/>
    <w:rsid w:val="004220E6"/>
    <w:rsid w:val="00424843"/>
    <w:rsid w:val="004249B4"/>
    <w:rsid w:val="0042542F"/>
    <w:rsid w:val="0042562A"/>
    <w:rsid w:val="004256C5"/>
    <w:rsid w:val="00425CE2"/>
    <w:rsid w:val="004263D7"/>
    <w:rsid w:val="00426636"/>
    <w:rsid w:val="00426CA8"/>
    <w:rsid w:val="00426FFF"/>
    <w:rsid w:val="0042786C"/>
    <w:rsid w:val="0042790C"/>
    <w:rsid w:val="004305EB"/>
    <w:rsid w:val="00430D0C"/>
    <w:rsid w:val="0043215F"/>
    <w:rsid w:val="00432448"/>
    <w:rsid w:val="00432CA6"/>
    <w:rsid w:val="00435690"/>
    <w:rsid w:val="004359E3"/>
    <w:rsid w:val="00436A73"/>
    <w:rsid w:val="00437DCC"/>
    <w:rsid w:val="00440F30"/>
    <w:rsid w:val="00441501"/>
    <w:rsid w:val="00442A60"/>
    <w:rsid w:val="0044330A"/>
    <w:rsid w:val="00444B2C"/>
    <w:rsid w:val="00445030"/>
    <w:rsid w:val="00446C3B"/>
    <w:rsid w:val="00446D80"/>
    <w:rsid w:val="00450223"/>
    <w:rsid w:val="00450BC7"/>
    <w:rsid w:val="00450DD2"/>
    <w:rsid w:val="0045135A"/>
    <w:rsid w:val="0045377F"/>
    <w:rsid w:val="0045428D"/>
    <w:rsid w:val="00455B9B"/>
    <w:rsid w:val="00456941"/>
    <w:rsid w:val="00456BCD"/>
    <w:rsid w:val="00456C9C"/>
    <w:rsid w:val="004574DD"/>
    <w:rsid w:val="00457596"/>
    <w:rsid w:val="004601A1"/>
    <w:rsid w:val="00460E6E"/>
    <w:rsid w:val="00463543"/>
    <w:rsid w:val="00463934"/>
    <w:rsid w:val="00464D23"/>
    <w:rsid w:val="004675F5"/>
    <w:rsid w:val="00470411"/>
    <w:rsid w:val="00470FF8"/>
    <w:rsid w:val="0047272D"/>
    <w:rsid w:val="00472824"/>
    <w:rsid w:val="00473324"/>
    <w:rsid w:val="00473BB6"/>
    <w:rsid w:val="00475403"/>
    <w:rsid w:val="0047671C"/>
    <w:rsid w:val="004767BB"/>
    <w:rsid w:val="00476945"/>
    <w:rsid w:val="004772CE"/>
    <w:rsid w:val="00477DE8"/>
    <w:rsid w:val="00480958"/>
    <w:rsid w:val="00480CE0"/>
    <w:rsid w:val="00482DAF"/>
    <w:rsid w:val="00485020"/>
    <w:rsid w:val="004870F7"/>
    <w:rsid w:val="0049069A"/>
    <w:rsid w:val="004919DF"/>
    <w:rsid w:val="004926E1"/>
    <w:rsid w:val="00492FFD"/>
    <w:rsid w:val="0049474C"/>
    <w:rsid w:val="00494B02"/>
    <w:rsid w:val="00496036"/>
    <w:rsid w:val="00496C32"/>
    <w:rsid w:val="00496D8E"/>
    <w:rsid w:val="00496FC9"/>
    <w:rsid w:val="004970FF"/>
    <w:rsid w:val="004A05EF"/>
    <w:rsid w:val="004A0CF7"/>
    <w:rsid w:val="004A2556"/>
    <w:rsid w:val="004A2A8A"/>
    <w:rsid w:val="004A394B"/>
    <w:rsid w:val="004A5574"/>
    <w:rsid w:val="004A65FC"/>
    <w:rsid w:val="004A7EF8"/>
    <w:rsid w:val="004B03FB"/>
    <w:rsid w:val="004B15CF"/>
    <w:rsid w:val="004B18AA"/>
    <w:rsid w:val="004B18F9"/>
    <w:rsid w:val="004B1D48"/>
    <w:rsid w:val="004B2B48"/>
    <w:rsid w:val="004B2B51"/>
    <w:rsid w:val="004B303C"/>
    <w:rsid w:val="004B3912"/>
    <w:rsid w:val="004B4262"/>
    <w:rsid w:val="004B58D4"/>
    <w:rsid w:val="004B64C5"/>
    <w:rsid w:val="004C0B4A"/>
    <w:rsid w:val="004C0C22"/>
    <w:rsid w:val="004C140A"/>
    <w:rsid w:val="004C24C2"/>
    <w:rsid w:val="004C320F"/>
    <w:rsid w:val="004C40B4"/>
    <w:rsid w:val="004C413B"/>
    <w:rsid w:val="004C43B2"/>
    <w:rsid w:val="004C4A61"/>
    <w:rsid w:val="004C57FD"/>
    <w:rsid w:val="004C59F0"/>
    <w:rsid w:val="004C6536"/>
    <w:rsid w:val="004C6558"/>
    <w:rsid w:val="004C69ED"/>
    <w:rsid w:val="004C7BC6"/>
    <w:rsid w:val="004D0743"/>
    <w:rsid w:val="004D0B13"/>
    <w:rsid w:val="004D18FC"/>
    <w:rsid w:val="004D28DB"/>
    <w:rsid w:val="004D2B12"/>
    <w:rsid w:val="004D2C36"/>
    <w:rsid w:val="004D3A0C"/>
    <w:rsid w:val="004D3CAF"/>
    <w:rsid w:val="004D3EAB"/>
    <w:rsid w:val="004D3FEE"/>
    <w:rsid w:val="004D4A4D"/>
    <w:rsid w:val="004D4CD2"/>
    <w:rsid w:val="004D4D08"/>
    <w:rsid w:val="004D52A8"/>
    <w:rsid w:val="004D590A"/>
    <w:rsid w:val="004D65EE"/>
    <w:rsid w:val="004D6CB2"/>
    <w:rsid w:val="004E0AC4"/>
    <w:rsid w:val="004E1362"/>
    <w:rsid w:val="004E1840"/>
    <w:rsid w:val="004E2CA2"/>
    <w:rsid w:val="004E343D"/>
    <w:rsid w:val="004E5264"/>
    <w:rsid w:val="004E6915"/>
    <w:rsid w:val="004E757D"/>
    <w:rsid w:val="004F0E47"/>
    <w:rsid w:val="004F0EC4"/>
    <w:rsid w:val="004F18D1"/>
    <w:rsid w:val="004F1DAB"/>
    <w:rsid w:val="004F1E51"/>
    <w:rsid w:val="004F36B1"/>
    <w:rsid w:val="004F4E93"/>
    <w:rsid w:val="004F52F2"/>
    <w:rsid w:val="004F5687"/>
    <w:rsid w:val="004F5AB2"/>
    <w:rsid w:val="004F65B5"/>
    <w:rsid w:val="004F6A2D"/>
    <w:rsid w:val="004F6E6F"/>
    <w:rsid w:val="004F7AC8"/>
    <w:rsid w:val="00500074"/>
    <w:rsid w:val="00501BA5"/>
    <w:rsid w:val="00501EB2"/>
    <w:rsid w:val="00503321"/>
    <w:rsid w:val="00503A01"/>
    <w:rsid w:val="00510AE8"/>
    <w:rsid w:val="00511864"/>
    <w:rsid w:val="00512340"/>
    <w:rsid w:val="00514CFE"/>
    <w:rsid w:val="005167DD"/>
    <w:rsid w:val="0051745B"/>
    <w:rsid w:val="00517A1B"/>
    <w:rsid w:val="00517B9D"/>
    <w:rsid w:val="00520139"/>
    <w:rsid w:val="0052043F"/>
    <w:rsid w:val="005207E1"/>
    <w:rsid w:val="00520C86"/>
    <w:rsid w:val="00520D28"/>
    <w:rsid w:val="00520DED"/>
    <w:rsid w:val="0052164F"/>
    <w:rsid w:val="00523EB8"/>
    <w:rsid w:val="00524F0C"/>
    <w:rsid w:val="0052541F"/>
    <w:rsid w:val="00525A83"/>
    <w:rsid w:val="005264FF"/>
    <w:rsid w:val="00527986"/>
    <w:rsid w:val="00530BB3"/>
    <w:rsid w:val="005310DD"/>
    <w:rsid w:val="00531D80"/>
    <w:rsid w:val="005325DF"/>
    <w:rsid w:val="00532A60"/>
    <w:rsid w:val="005334E9"/>
    <w:rsid w:val="0053378E"/>
    <w:rsid w:val="00533F5B"/>
    <w:rsid w:val="00534272"/>
    <w:rsid w:val="005347E9"/>
    <w:rsid w:val="00534CEE"/>
    <w:rsid w:val="00534FB5"/>
    <w:rsid w:val="00535035"/>
    <w:rsid w:val="00535DDF"/>
    <w:rsid w:val="005365B2"/>
    <w:rsid w:val="0053697C"/>
    <w:rsid w:val="00536F9C"/>
    <w:rsid w:val="005376A5"/>
    <w:rsid w:val="00541251"/>
    <w:rsid w:val="005422DA"/>
    <w:rsid w:val="0054236D"/>
    <w:rsid w:val="005428FC"/>
    <w:rsid w:val="00542F2D"/>
    <w:rsid w:val="005431C8"/>
    <w:rsid w:val="005438FA"/>
    <w:rsid w:val="00544676"/>
    <w:rsid w:val="0054521F"/>
    <w:rsid w:val="005458CD"/>
    <w:rsid w:val="005461A1"/>
    <w:rsid w:val="005462C9"/>
    <w:rsid w:val="00547438"/>
    <w:rsid w:val="00550662"/>
    <w:rsid w:val="00552BAF"/>
    <w:rsid w:val="005539AF"/>
    <w:rsid w:val="005539F3"/>
    <w:rsid w:val="00554014"/>
    <w:rsid w:val="005545D5"/>
    <w:rsid w:val="00554D92"/>
    <w:rsid w:val="00555AD5"/>
    <w:rsid w:val="00555BD9"/>
    <w:rsid w:val="00556181"/>
    <w:rsid w:val="005570B0"/>
    <w:rsid w:val="005618D1"/>
    <w:rsid w:val="00562A14"/>
    <w:rsid w:val="00562E25"/>
    <w:rsid w:val="00562FA9"/>
    <w:rsid w:val="005636F1"/>
    <w:rsid w:val="00563775"/>
    <w:rsid w:val="00563B57"/>
    <w:rsid w:val="0056445D"/>
    <w:rsid w:val="0056454D"/>
    <w:rsid w:val="00565279"/>
    <w:rsid w:val="00566B27"/>
    <w:rsid w:val="00567A2C"/>
    <w:rsid w:val="00567B8B"/>
    <w:rsid w:val="0057137C"/>
    <w:rsid w:val="00571DAA"/>
    <w:rsid w:val="005732B7"/>
    <w:rsid w:val="005736AF"/>
    <w:rsid w:val="00574C27"/>
    <w:rsid w:val="00575210"/>
    <w:rsid w:val="005778D8"/>
    <w:rsid w:val="005820B1"/>
    <w:rsid w:val="005830F4"/>
    <w:rsid w:val="00585C7E"/>
    <w:rsid w:val="00586507"/>
    <w:rsid w:val="00586615"/>
    <w:rsid w:val="00586890"/>
    <w:rsid w:val="005871AD"/>
    <w:rsid w:val="00587831"/>
    <w:rsid w:val="00591AF6"/>
    <w:rsid w:val="00592C06"/>
    <w:rsid w:val="00592D86"/>
    <w:rsid w:val="00592DA2"/>
    <w:rsid w:val="005931EF"/>
    <w:rsid w:val="005942BC"/>
    <w:rsid w:val="0059480C"/>
    <w:rsid w:val="005950A6"/>
    <w:rsid w:val="00595971"/>
    <w:rsid w:val="00595A83"/>
    <w:rsid w:val="0059600D"/>
    <w:rsid w:val="005962CF"/>
    <w:rsid w:val="00597A75"/>
    <w:rsid w:val="005A10EE"/>
    <w:rsid w:val="005A1D57"/>
    <w:rsid w:val="005A2A95"/>
    <w:rsid w:val="005A4158"/>
    <w:rsid w:val="005A4831"/>
    <w:rsid w:val="005A53E4"/>
    <w:rsid w:val="005A5961"/>
    <w:rsid w:val="005A6545"/>
    <w:rsid w:val="005A7AB0"/>
    <w:rsid w:val="005B036A"/>
    <w:rsid w:val="005B1FE3"/>
    <w:rsid w:val="005B207F"/>
    <w:rsid w:val="005B2809"/>
    <w:rsid w:val="005B35BE"/>
    <w:rsid w:val="005B3970"/>
    <w:rsid w:val="005B3991"/>
    <w:rsid w:val="005B4315"/>
    <w:rsid w:val="005B5AE5"/>
    <w:rsid w:val="005B62EC"/>
    <w:rsid w:val="005B757E"/>
    <w:rsid w:val="005B75DC"/>
    <w:rsid w:val="005B77E8"/>
    <w:rsid w:val="005C1246"/>
    <w:rsid w:val="005C2C47"/>
    <w:rsid w:val="005C2E82"/>
    <w:rsid w:val="005C3135"/>
    <w:rsid w:val="005C35E4"/>
    <w:rsid w:val="005C3A5D"/>
    <w:rsid w:val="005C3B32"/>
    <w:rsid w:val="005C4CEB"/>
    <w:rsid w:val="005C6478"/>
    <w:rsid w:val="005C7673"/>
    <w:rsid w:val="005D0851"/>
    <w:rsid w:val="005D0E02"/>
    <w:rsid w:val="005D179A"/>
    <w:rsid w:val="005D27ED"/>
    <w:rsid w:val="005D32A8"/>
    <w:rsid w:val="005D3F6D"/>
    <w:rsid w:val="005D486D"/>
    <w:rsid w:val="005D4A70"/>
    <w:rsid w:val="005D55E5"/>
    <w:rsid w:val="005D599B"/>
    <w:rsid w:val="005D5DFA"/>
    <w:rsid w:val="005D60A1"/>
    <w:rsid w:val="005D7591"/>
    <w:rsid w:val="005D7DAB"/>
    <w:rsid w:val="005E04C0"/>
    <w:rsid w:val="005E128F"/>
    <w:rsid w:val="005E2868"/>
    <w:rsid w:val="005E3E46"/>
    <w:rsid w:val="005E3EC4"/>
    <w:rsid w:val="005E482F"/>
    <w:rsid w:val="005E5B30"/>
    <w:rsid w:val="005E5D44"/>
    <w:rsid w:val="005E61CF"/>
    <w:rsid w:val="005E6515"/>
    <w:rsid w:val="005E785E"/>
    <w:rsid w:val="005F054A"/>
    <w:rsid w:val="005F09CD"/>
    <w:rsid w:val="005F0B53"/>
    <w:rsid w:val="005F0FD1"/>
    <w:rsid w:val="005F1797"/>
    <w:rsid w:val="005F2440"/>
    <w:rsid w:val="005F2588"/>
    <w:rsid w:val="005F4DD7"/>
    <w:rsid w:val="005F5375"/>
    <w:rsid w:val="005F602A"/>
    <w:rsid w:val="005F6D63"/>
    <w:rsid w:val="005F708E"/>
    <w:rsid w:val="005F7330"/>
    <w:rsid w:val="005F7AFC"/>
    <w:rsid w:val="006001FC"/>
    <w:rsid w:val="006006D6"/>
    <w:rsid w:val="00601525"/>
    <w:rsid w:val="006017E5"/>
    <w:rsid w:val="00602364"/>
    <w:rsid w:val="006039FA"/>
    <w:rsid w:val="00605D01"/>
    <w:rsid w:val="00605EAE"/>
    <w:rsid w:val="006064BF"/>
    <w:rsid w:val="00606AC7"/>
    <w:rsid w:val="0060709F"/>
    <w:rsid w:val="006074BF"/>
    <w:rsid w:val="0060769B"/>
    <w:rsid w:val="00607A99"/>
    <w:rsid w:val="00607AE3"/>
    <w:rsid w:val="00611194"/>
    <w:rsid w:val="00611C51"/>
    <w:rsid w:val="00614455"/>
    <w:rsid w:val="0061487A"/>
    <w:rsid w:val="00615F8E"/>
    <w:rsid w:val="00616582"/>
    <w:rsid w:val="0061659E"/>
    <w:rsid w:val="006209C4"/>
    <w:rsid w:val="00621A74"/>
    <w:rsid w:val="00621F0F"/>
    <w:rsid w:val="00621FCB"/>
    <w:rsid w:val="00622E37"/>
    <w:rsid w:val="00623523"/>
    <w:rsid w:val="0062356D"/>
    <w:rsid w:val="00624F5B"/>
    <w:rsid w:val="0062518F"/>
    <w:rsid w:val="00626BF6"/>
    <w:rsid w:val="00627CFC"/>
    <w:rsid w:val="00630383"/>
    <w:rsid w:val="00630D30"/>
    <w:rsid w:val="00633F5C"/>
    <w:rsid w:val="0063449B"/>
    <w:rsid w:val="006348AA"/>
    <w:rsid w:val="006349DF"/>
    <w:rsid w:val="0063560F"/>
    <w:rsid w:val="0063659B"/>
    <w:rsid w:val="006371B3"/>
    <w:rsid w:val="00640B0D"/>
    <w:rsid w:val="006430AF"/>
    <w:rsid w:val="0064357A"/>
    <w:rsid w:val="006438B5"/>
    <w:rsid w:val="00643CF7"/>
    <w:rsid w:val="00643DF0"/>
    <w:rsid w:val="00644540"/>
    <w:rsid w:val="00644616"/>
    <w:rsid w:val="006447F0"/>
    <w:rsid w:val="00645165"/>
    <w:rsid w:val="00645BD0"/>
    <w:rsid w:val="00645CAE"/>
    <w:rsid w:val="006469FB"/>
    <w:rsid w:val="00647186"/>
    <w:rsid w:val="00647D70"/>
    <w:rsid w:val="00652DAC"/>
    <w:rsid w:val="00653581"/>
    <w:rsid w:val="006549AD"/>
    <w:rsid w:val="00655617"/>
    <w:rsid w:val="00655FBA"/>
    <w:rsid w:val="00656389"/>
    <w:rsid w:val="00657647"/>
    <w:rsid w:val="006579B8"/>
    <w:rsid w:val="006605CD"/>
    <w:rsid w:val="0066060C"/>
    <w:rsid w:val="00660780"/>
    <w:rsid w:val="006614F5"/>
    <w:rsid w:val="00661578"/>
    <w:rsid w:val="00663AE8"/>
    <w:rsid w:val="006641AF"/>
    <w:rsid w:val="006649AF"/>
    <w:rsid w:val="00665D66"/>
    <w:rsid w:val="006660DA"/>
    <w:rsid w:val="006663E3"/>
    <w:rsid w:val="00666BC2"/>
    <w:rsid w:val="0066713A"/>
    <w:rsid w:val="006675A0"/>
    <w:rsid w:val="00667C6F"/>
    <w:rsid w:val="00670163"/>
    <w:rsid w:val="00670ACA"/>
    <w:rsid w:val="00670D58"/>
    <w:rsid w:val="00672F10"/>
    <w:rsid w:val="00673260"/>
    <w:rsid w:val="00674566"/>
    <w:rsid w:val="00674DFB"/>
    <w:rsid w:val="006750D4"/>
    <w:rsid w:val="00675B2B"/>
    <w:rsid w:val="00676694"/>
    <w:rsid w:val="006769FF"/>
    <w:rsid w:val="00676A23"/>
    <w:rsid w:val="00677680"/>
    <w:rsid w:val="006777B5"/>
    <w:rsid w:val="00677F9D"/>
    <w:rsid w:val="0068166A"/>
    <w:rsid w:val="00682CF8"/>
    <w:rsid w:val="00683316"/>
    <w:rsid w:val="0068332D"/>
    <w:rsid w:val="00683C1C"/>
    <w:rsid w:val="00683E89"/>
    <w:rsid w:val="00684538"/>
    <w:rsid w:val="00684CF3"/>
    <w:rsid w:val="006854B0"/>
    <w:rsid w:val="00685939"/>
    <w:rsid w:val="006861D4"/>
    <w:rsid w:val="00686898"/>
    <w:rsid w:val="00687E36"/>
    <w:rsid w:val="00692354"/>
    <w:rsid w:val="006933CF"/>
    <w:rsid w:val="00693554"/>
    <w:rsid w:val="00694798"/>
    <w:rsid w:val="006947C3"/>
    <w:rsid w:val="0069481B"/>
    <w:rsid w:val="00694F1E"/>
    <w:rsid w:val="00694F2C"/>
    <w:rsid w:val="00696785"/>
    <w:rsid w:val="00696AEE"/>
    <w:rsid w:val="00696D74"/>
    <w:rsid w:val="00696EA0"/>
    <w:rsid w:val="00696EE1"/>
    <w:rsid w:val="006A08FA"/>
    <w:rsid w:val="006A098C"/>
    <w:rsid w:val="006A0D7A"/>
    <w:rsid w:val="006A0F0A"/>
    <w:rsid w:val="006A26AD"/>
    <w:rsid w:val="006A345E"/>
    <w:rsid w:val="006A3783"/>
    <w:rsid w:val="006A398C"/>
    <w:rsid w:val="006A5AD8"/>
    <w:rsid w:val="006A5C7A"/>
    <w:rsid w:val="006A6485"/>
    <w:rsid w:val="006A6C35"/>
    <w:rsid w:val="006A73D8"/>
    <w:rsid w:val="006A7F7A"/>
    <w:rsid w:val="006B1AB7"/>
    <w:rsid w:val="006B1AEB"/>
    <w:rsid w:val="006B25EF"/>
    <w:rsid w:val="006B341C"/>
    <w:rsid w:val="006B39F4"/>
    <w:rsid w:val="006B4772"/>
    <w:rsid w:val="006B47DD"/>
    <w:rsid w:val="006B4908"/>
    <w:rsid w:val="006B6985"/>
    <w:rsid w:val="006B6A32"/>
    <w:rsid w:val="006C020F"/>
    <w:rsid w:val="006C0F61"/>
    <w:rsid w:val="006C12E5"/>
    <w:rsid w:val="006C1424"/>
    <w:rsid w:val="006C2342"/>
    <w:rsid w:val="006C25F6"/>
    <w:rsid w:val="006C4C0F"/>
    <w:rsid w:val="006C5BA9"/>
    <w:rsid w:val="006C70AF"/>
    <w:rsid w:val="006D0FB7"/>
    <w:rsid w:val="006D3139"/>
    <w:rsid w:val="006D32CE"/>
    <w:rsid w:val="006D3D35"/>
    <w:rsid w:val="006D50DE"/>
    <w:rsid w:val="006D555E"/>
    <w:rsid w:val="006D6695"/>
    <w:rsid w:val="006D701C"/>
    <w:rsid w:val="006D78F2"/>
    <w:rsid w:val="006E0697"/>
    <w:rsid w:val="006E0D25"/>
    <w:rsid w:val="006E1105"/>
    <w:rsid w:val="006E28D1"/>
    <w:rsid w:val="006E3140"/>
    <w:rsid w:val="006E67F3"/>
    <w:rsid w:val="006E7AC3"/>
    <w:rsid w:val="006F3BE0"/>
    <w:rsid w:val="006F41E3"/>
    <w:rsid w:val="006F4242"/>
    <w:rsid w:val="006F4C0E"/>
    <w:rsid w:val="006F5F19"/>
    <w:rsid w:val="006F7AE0"/>
    <w:rsid w:val="00700C98"/>
    <w:rsid w:val="007013D1"/>
    <w:rsid w:val="00701E97"/>
    <w:rsid w:val="00702B35"/>
    <w:rsid w:val="0070308B"/>
    <w:rsid w:val="00703414"/>
    <w:rsid w:val="007045BA"/>
    <w:rsid w:val="00706CC4"/>
    <w:rsid w:val="0070743F"/>
    <w:rsid w:val="00707477"/>
    <w:rsid w:val="007078BE"/>
    <w:rsid w:val="00707C0E"/>
    <w:rsid w:val="00707D67"/>
    <w:rsid w:val="00710025"/>
    <w:rsid w:val="007117E1"/>
    <w:rsid w:val="00711925"/>
    <w:rsid w:val="0071229D"/>
    <w:rsid w:val="00712828"/>
    <w:rsid w:val="007129F3"/>
    <w:rsid w:val="00712AD3"/>
    <w:rsid w:val="00712F38"/>
    <w:rsid w:val="00713441"/>
    <w:rsid w:val="00713ADD"/>
    <w:rsid w:val="00714457"/>
    <w:rsid w:val="00715716"/>
    <w:rsid w:val="0071612F"/>
    <w:rsid w:val="00717B4D"/>
    <w:rsid w:val="00720FE9"/>
    <w:rsid w:val="00721445"/>
    <w:rsid w:val="007219FD"/>
    <w:rsid w:val="00722044"/>
    <w:rsid w:val="007222A4"/>
    <w:rsid w:val="0072256B"/>
    <w:rsid w:val="007230BA"/>
    <w:rsid w:val="007252E0"/>
    <w:rsid w:val="0072532D"/>
    <w:rsid w:val="00725F85"/>
    <w:rsid w:val="00726D86"/>
    <w:rsid w:val="00727B8B"/>
    <w:rsid w:val="00732DDC"/>
    <w:rsid w:val="00733BBA"/>
    <w:rsid w:val="00733EF9"/>
    <w:rsid w:val="00734E83"/>
    <w:rsid w:val="0073507A"/>
    <w:rsid w:val="00735981"/>
    <w:rsid w:val="007379F6"/>
    <w:rsid w:val="00737E5F"/>
    <w:rsid w:val="0074020D"/>
    <w:rsid w:val="007403A6"/>
    <w:rsid w:val="007409C4"/>
    <w:rsid w:val="0074184D"/>
    <w:rsid w:val="00744273"/>
    <w:rsid w:val="0074466D"/>
    <w:rsid w:val="00745205"/>
    <w:rsid w:val="00745982"/>
    <w:rsid w:val="007459C4"/>
    <w:rsid w:val="00745D7B"/>
    <w:rsid w:val="00746A81"/>
    <w:rsid w:val="00750C9A"/>
    <w:rsid w:val="0075171F"/>
    <w:rsid w:val="00752273"/>
    <w:rsid w:val="00752BA5"/>
    <w:rsid w:val="00753AF7"/>
    <w:rsid w:val="00754DA5"/>
    <w:rsid w:val="00756AA0"/>
    <w:rsid w:val="00756B3F"/>
    <w:rsid w:val="007576AA"/>
    <w:rsid w:val="00757933"/>
    <w:rsid w:val="007611D5"/>
    <w:rsid w:val="00762182"/>
    <w:rsid w:val="007623C5"/>
    <w:rsid w:val="00764663"/>
    <w:rsid w:val="00764836"/>
    <w:rsid w:val="007648DF"/>
    <w:rsid w:val="00764E93"/>
    <w:rsid w:val="00764EB8"/>
    <w:rsid w:val="00765FEF"/>
    <w:rsid w:val="00766082"/>
    <w:rsid w:val="00766548"/>
    <w:rsid w:val="007667A6"/>
    <w:rsid w:val="007700DF"/>
    <w:rsid w:val="007709A9"/>
    <w:rsid w:val="00770B38"/>
    <w:rsid w:val="0077111D"/>
    <w:rsid w:val="007712B2"/>
    <w:rsid w:val="0077166C"/>
    <w:rsid w:val="00771B41"/>
    <w:rsid w:val="007737E7"/>
    <w:rsid w:val="00773DC4"/>
    <w:rsid w:val="00773F52"/>
    <w:rsid w:val="0077401E"/>
    <w:rsid w:val="00774135"/>
    <w:rsid w:val="00774513"/>
    <w:rsid w:val="007748B9"/>
    <w:rsid w:val="0077512D"/>
    <w:rsid w:val="00776434"/>
    <w:rsid w:val="0077645A"/>
    <w:rsid w:val="0077754B"/>
    <w:rsid w:val="00777615"/>
    <w:rsid w:val="00777FA5"/>
    <w:rsid w:val="007800FF"/>
    <w:rsid w:val="0078037B"/>
    <w:rsid w:val="00781EB3"/>
    <w:rsid w:val="00782CB1"/>
    <w:rsid w:val="00782FC0"/>
    <w:rsid w:val="00783DC1"/>
    <w:rsid w:val="007840C2"/>
    <w:rsid w:val="007847C6"/>
    <w:rsid w:val="007851E3"/>
    <w:rsid w:val="007852AE"/>
    <w:rsid w:val="007854E3"/>
    <w:rsid w:val="0078597F"/>
    <w:rsid w:val="00786371"/>
    <w:rsid w:val="007918B0"/>
    <w:rsid w:val="0079425D"/>
    <w:rsid w:val="007944A0"/>
    <w:rsid w:val="0079470D"/>
    <w:rsid w:val="007947BE"/>
    <w:rsid w:val="00794D3D"/>
    <w:rsid w:val="00795E3F"/>
    <w:rsid w:val="00796524"/>
    <w:rsid w:val="0079718C"/>
    <w:rsid w:val="007972B5"/>
    <w:rsid w:val="00797DFE"/>
    <w:rsid w:val="007A01FC"/>
    <w:rsid w:val="007A02FF"/>
    <w:rsid w:val="007A03CA"/>
    <w:rsid w:val="007A10A0"/>
    <w:rsid w:val="007A1A9E"/>
    <w:rsid w:val="007A208D"/>
    <w:rsid w:val="007A2942"/>
    <w:rsid w:val="007A38CA"/>
    <w:rsid w:val="007A4521"/>
    <w:rsid w:val="007A5983"/>
    <w:rsid w:val="007A5B56"/>
    <w:rsid w:val="007A66BA"/>
    <w:rsid w:val="007B107A"/>
    <w:rsid w:val="007B1353"/>
    <w:rsid w:val="007B19AA"/>
    <w:rsid w:val="007B5605"/>
    <w:rsid w:val="007B5845"/>
    <w:rsid w:val="007B5D04"/>
    <w:rsid w:val="007B6B74"/>
    <w:rsid w:val="007B7A34"/>
    <w:rsid w:val="007C03F2"/>
    <w:rsid w:val="007C17B9"/>
    <w:rsid w:val="007C17D8"/>
    <w:rsid w:val="007C1B8A"/>
    <w:rsid w:val="007C2BAD"/>
    <w:rsid w:val="007C3231"/>
    <w:rsid w:val="007C363A"/>
    <w:rsid w:val="007C4D4B"/>
    <w:rsid w:val="007C6ED7"/>
    <w:rsid w:val="007C713E"/>
    <w:rsid w:val="007C7391"/>
    <w:rsid w:val="007C75BE"/>
    <w:rsid w:val="007D006A"/>
    <w:rsid w:val="007D11BB"/>
    <w:rsid w:val="007D1704"/>
    <w:rsid w:val="007D2A3F"/>
    <w:rsid w:val="007D3DBB"/>
    <w:rsid w:val="007D4557"/>
    <w:rsid w:val="007D4A6E"/>
    <w:rsid w:val="007D4FF4"/>
    <w:rsid w:val="007D5C83"/>
    <w:rsid w:val="007D5E70"/>
    <w:rsid w:val="007D687C"/>
    <w:rsid w:val="007D6B93"/>
    <w:rsid w:val="007E1911"/>
    <w:rsid w:val="007E3066"/>
    <w:rsid w:val="007E393B"/>
    <w:rsid w:val="007E3DBA"/>
    <w:rsid w:val="007E41A8"/>
    <w:rsid w:val="007E6ADB"/>
    <w:rsid w:val="007E72BE"/>
    <w:rsid w:val="007E7B8A"/>
    <w:rsid w:val="007E7BB7"/>
    <w:rsid w:val="007F1378"/>
    <w:rsid w:val="007F19C6"/>
    <w:rsid w:val="007F1EEE"/>
    <w:rsid w:val="007F2084"/>
    <w:rsid w:val="007F228F"/>
    <w:rsid w:val="007F270B"/>
    <w:rsid w:val="007F293C"/>
    <w:rsid w:val="007F36AE"/>
    <w:rsid w:val="007F45AA"/>
    <w:rsid w:val="007F4F61"/>
    <w:rsid w:val="007F5500"/>
    <w:rsid w:val="007F55AA"/>
    <w:rsid w:val="007F647E"/>
    <w:rsid w:val="007F6580"/>
    <w:rsid w:val="007F65FE"/>
    <w:rsid w:val="007F77ED"/>
    <w:rsid w:val="007F7D37"/>
    <w:rsid w:val="007F7D70"/>
    <w:rsid w:val="008007A5"/>
    <w:rsid w:val="00800920"/>
    <w:rsid w:val="008012E1"/>
    <w:rsid w:val="00801527"/>
    <w:rsid w:val="008018C2"/>
    <w:rsid w:val="00802221"/>
    <w:rsid w:val="0080391C"/>
    <w:rsid w:val="00803F00"/>
    <w:rsid w:val="00804984"/>
    <w:rsid w:val="00807976"/>
    <w:rsid w:val="008100A4"/>
    <w:rsid w:val="00811076"/>
    <w:rsid w:val="00811163"/>
    <w:rsid w:val="0081269D"/>
    <w:rsid w:val="00812BB6"/>
    <w:rsid w:val="0081379E"/>
    <w:rsid w:val="008140EC"/>
    <w:rsid w:val="00814501"/>
    <w:rsid w:val="008147EE"/>
    <w:rsid w:val="00815121"/>
    <w:rsid w:val="00815923"/>
    <w:rsid w:val="00815D91"/>
    <w:rsid w:val="00816EB5"/>
    <w:rsid w:val="0081741E"/>
    <w:rsid w:val="00821384"/>
    <w:rsid w:val="00821A0C"/>
    <w:rsid w:val="00821EB1"/>
    <w:rsid w:val="0082337E"/>
    <w:rsid w:val="00823E85"/>
    <w:rsid w:val="008242CE"/>
    <w:rsid w:val="00825016"/>
    <w:rsid w:val="0082620A"/>
    <w:rsid w:val="0082707D"/>
    <w:rsid w:val="00827841"/>
    <w:rsid w:val="008300D4"/>
    <w:rsid w:val="00830548"/>
    <w:rsid w:val="008306F6"/>
    <w:rsid w:val="0083098F"/>
    <w:rsid w:val="008309FD"/>
    <w:rsid w:val="00830C23"/>
    <w:rsid w:val="00831DCA"/>
    <w:rsid w:val="00832071"/>
    <w:rsid w:val="0083299E"/>
    <w:rsid w:val="00832A62"/>
    <w:rsid w:val="00833250"/>
    <w:rsid w:val="00834645"/>
    <w:rsid w:val="00834B3A"/>
    <w:rsid w:val="00836374"/>
    <w:rsid w:val="00836BD5"/>
    <w:rsid w:val="00836DF7"/>
    <w:rsid w:val="0083799E"/>
    <w:rsid w:val="008424EB"/>
    <w:rsid w:val="00842C6F"/>
    <w:rsid w:val="00843D69"/>
    <w:rsid w:val="008447AD"/>
    <w:rsid w:val="008502EF"/>
    <w:rsid w:val="00852B0F"/>
    <w:rsid w:val="00852B3F"/>
    <w:rsid w:val="0085401F"/>
    <w:rsid w:val="00854EE7"/>
    <w:rsid w:val="008551CE"/>
    <w:rsid w:val="0085605D"/>
    <w:rsid w:val="008560E1"/>
    <w:rsid w:val="00856928"/>
    <w:rsid w:val="00856DAA"/>
    <w:rsid w:val="00857A1F"/>
    <w:rsid w:val="008601DC"/>
    <w:rsid w:val="00860BFC"/>
    <w:rsid w:val="008610A6"/>
    <w:rsid w:val="00861963"/>
    <w:rsid w:val="00861D68"/>
    <w:rsid w:val="00864177"/>
    <w:rsid w:val="0086557B"/>
    <w:rsid w:val="00867629"/>
    <w:rsid w:val="00867D2F"/>
    <w:rsid w:val="0087004A"/>
    <w:rsid w:val="00870537"/>
    <w:rsid w:val="00870AD7"/>
    <w:rsid w:val="0087179A"/>
    <w:rsid w:val="008727A2"/>
    <w:rsid w:val="008733DF"/>
    <w:rsid w:val="00873543"/>
    <w:rsid w:val="008748ED"/>
    <w:rsid w:val="00874B20"/>
    <w:rsid w:val="00875012"/>
    <w:rsid w:val="008761DA"/>
    <w:rsid w:val="008764A6"/>
    <w:rsid w:val="00876C3C"/>
    <w:rsid w:val="008775EA"/>
    <w:rsid w:val="008778A7"/>
    <w:rsid w:val="00880123"/>
    <w:rsid w:val="008806C2"/>
    <w:rsid w:val="00880FB3"/>
    <w:rsid w:val="00883178"/>
    <w:rsid w:val="00883465"/>
    <w:rsid w:val="00883A30"/>
    <w:rsid w:val="00883A37"/>
    <w:rsid w:val="0088452A"/>
    <w:rsid w:val="0088476E"/>
    <w:rsid w:val="008849B5"/>
    <w:rsid w:val="0088541C"/>
    <w:rsid w:val="008858D3"/>
    <w:rsid w:val="00886434"/>
    <w:rsid w:val="008864E6"/>
    <w:rsid w:val="00890929"/>
    <w:rsid w:val="00891012"/>
    <w:rsid w:val="008916EF"/>
    <w:rsid w:val="008925F7"/>
    <w:rsid w:val="00892C13"/>
    <w:rsid w:val="00894151"/>
    <w:rsid w:val="008941C8"/>
    <w:rsid w:val="008941F1"/>
    <w:rsid w:val="008942E3"/>
    <w:rsid w:val="00894E60"/>
    <w:rsid w:val="00896208"/>
    <w:rsid w:val="00896269"/>
    <w:rsid w:val="0089660B"/>
    <w:rsid w:val="00896EDC"/>
    <w:rsid w:val="008A083F"/>
    <w:rsid w:val="008A0F32"/>
    <w:rsid w:val="008A1627"/>
    <w:rsid w:val="008A18F2"/>
    <w:rsid w:val="008A204B"/>
    <w:rsid w:val="008A268C"/>
    <w:rsid w:val="008A26BD"/>
    <w:rsid w:val="008A339C"/>
    <w:rsid w:val="008A385F"/>
    <w:rsid w:val="008A4AB8"/>
    <w:rsid w:val="008A4E4B"/>
    <w:rsid w:val="008A693C"/>
    <w:rsid w:val="008A71A3"/>
    <w:rsid w:val="008A79A7"/>
    <w:rsid w:val="008B3D05"/>
    <w:rsid w:val="008B3F3D"/>
    <w:rsid w:val="008B58FA"/>
    <w:rsid w:val="008B5ACE"/>
    <w:rsid w:val="008B69A9"/>
    <w:rsid w:val="008B69AC"/>
    <w:rsid w:val="008B764F"/>
    <w:rsid w:val="008B786A"/>
    <w:rsid w:val="008C0150"/>
    <w:rsid w:val="008C0DD4"/>
    <w:rsid w:val="008C1B20"/>
    <w:rsid w:val="008C1CF6"/>
    <w:rsid w:val="008C1F41"/>
    <w:rsid w:val="008C2D44"/>
    <w:rsid w:val="008C31F9"/>
    <w:rsid w:val="008C32DB"/>
    <w:rsid w:val="008C4342"/>
    <w:rsid w:val="008C4417"/>
    <w:rsid w:val="008C5416"/>
    <w:rsid w:val="008C6091"/>
    <w:rsid w:val="008C73F1"/>
    <w:rsid w:val="008D00F2"/>
    <w:rsid w:val="008D09C6"/>
    <w:rsid w:val="008D09F3"/>
    <w:rsid w:val="008D12C2"/>
    <w:rsid w:val="008D240F"/>
    <w:rsid w:val="008D3D5F"/>
    <w:rsid w:val="008D415C"/>
    <w:rsid w:val="008D60F8"/>
    <w:rsid w:val="008D6C04"/>
    <w:rsid w:val="008D7AC6"/>
    <w:rsid w:val="008E0698"/>
    <w:rsid w:val="008E1862"/>
    <w:rsid w:val="008E2316"/>
    <w:rsid w:val="008E46D5"/>
    <w:rsid w:val="008E5199"/>
    <w:rsid w:val="008E579F"/>
    <w:rsid w:val="008E7795"/>
    <w:rsid w:val="008F006C"/>
    <w:rsid w:val="008F1F8F"/>
    <w:rsid w:val="008F2E28"/>
    <w:rsid w:val="008F5332"/>
    <w:rsid w:val="008F62C8"/>
    <w:rsid w:val="008F6A1C"/>
    <w:rsid w:val="008F72EF"/>
    <w:rsid w:val="009007FD"/>
    <w:rsid w:val="009009E8"/>
    <w:rsid w:val="00900BAD"/>
    <w:rsid w:val="00902345"/>
    <w:rsid w:val="009027FC"/>
    <w:rsid w:val="00902F20"/>
    <w:rsid w:val="00903007"/>
    <w:rsid w:val="00904707"/>
    <w:rsid w:val="00905074"/>
    <w:rsid w:val="00906B97"/>
    <w:rsid w:val="00906CB3"/>
    <w:rsid w:val="00910029"/>
    <w:rsid w:val="00910D41"/>
    <w:rsid w:val="009121F1"/>
    <w:rsid w:val="009122CB"/>
    <w:rsid w:val="00912A48"/>
    <w:rsid w:val="00916445"/>
    <w:rsid w:val="00917810"/>
    <w:rsid w:val="00921EA0"/>
    <w:rsid w:val="00922183"/>
    <w:rsid w:val="00922420"/>
    <w:rsid w:val="009224F5"/>
    <w:rsid w:val="009245BE"/>
    <w:rsid w:val="009248AB"/>
    <w:rsid w:val="00925AB7"/>
    <w:rsid w:val="009262BF"/>
    <w:rsid w:val="0092646C"/>
    <w:rsid w:val="009265A2"/>
    <w:rsid w:val="00927D32"/>
    <w:rsid w:val="009312B9"/>
    <w:rsid w:val="00931CCA"/>
    <w:rsid w:val="0093340C"/>
    <w:rsid w:val="00933D92"/>
    <w:rsid w:val="009345FE"/>
    <w:rsid w:val="009348D2"/>
    <w:rsid w:val="009352C0"/>
    <w:rsid w:val="00935BFC"/>
    <w:rsid w:val="009363D8"/>
    <w:rsid w:val="00936C42"/>
    <w:rsid w:val="0093740B"/>
    <w:rsid w:val="00937984"/>
    <w:rsid w:val="00937AA9"/>
    <w:rsid w:val="00937D74"/>
    <w:rsid w:val="0094019F"/>
    <w:rsid w:val="0094276E"/>
    <w:rsid w:val="009430D8"/>
    <w:rsid w:val="009437C0"/>
    <w:rsid w:val="00943C09"/>
    <w:rsid w:val="00945742"/>
    <w:rsid w:val="00945F16"/>
    <w:rsid w:val="00945FB9"/>
    <w:rsid w:val="009474CB"/>
    <w:rsid w:val="00950495"/>
    <w:rsid w:val="00950E48"/>
    <w:rsid w:val="009534C6"/>
    <w:rsid w:val="00955269"/>
    <w:rsid w:val="00960128"/>
    <w:rsid w:val="009605BC"/>
    <w:rsid w:val="00961FCD"/>
    <w:rsid w:val="009628DA"/>
    <w:rsid w:val="00962F95"/>
    <w:rsid w:val="00963446"/>
    <w:rsid w:val="009635C3"/>
    <w:rsid w:val="009659F6"/>
    <w:rsid w:val="00965C07"/>
    <w:rsid w:val="00965D34"/>
    <w:rsid w:val="0096793A"/>
    <w:rsid w:val="00967982"/>
    <w:rsid w:val="00974695"/>
    <w:rsid w:val="009746A9"/>
    <w:rsid w:val="00974970"/>
    <w:rsid w:val="0097698F"/>
    <w:rsid w:val="00977280"/>
    <w:rsid w:val="00977B35"/>
    <w:rsid w:val="00980FAC"/>
    <w:rsid w:val="009818C4"/>
    <w:rsid w:val="00982178"/>
    <w:rsid w:val="00982200"/>
    <w:rsid w:val="00982A0E"/>
    <w:rsid w:val="00982A57"/>
    <w:rsid w:val="009830A7"/>
    <w:rsid w:val="00983F15"/>
    <w:rsid w:val="00986629"/>
    <w:rsid w:val="0098691A"/>
    <w:rsid w:val="0098697C"/>
    <w:rsid w:val="00986CD7"/>
    <w:rsid w:val="00986D7C"/>
    <w:rsid w:val="00986EBF"/>
    <w:rsid w:val="00987858"/>
    <w:rsid w:val="00987C4C"/>
    <w:rsid w:val="00991E07"/>
    <w:rsid w:val="00992A18"/>
    <w:rsid w:val="00993241"/>
    <w:rsid w:val="009935D6"/>
    <w:rsid w:val="009944D9"/>
    <w:rsid w:val="00994689"/>
    <w:rsid w:val="00994D1C"/>
    <w:rsid w:val="009954EC"/>
    <w:rsid w:val="009955A4"/>
    <w:rsid w:val="009A0A8B"/>
    <w:rsid w:val="009A1406"/>
    <w:rsid w:val="009A1962"/>
    <w:rsid w:val="009A2ADE"/>
    <w:rsid w:val="009A2F95"/>
    <w:rsid w:val="009A37A1"/>
    <w:rsid w:val="009A3831"/>
    <w:rsid w:val="009A54AC"/>
    <w:rsid w:val="009A55EF"/>
    <w:rsid w:val="009A5DA4"/>
    <w:rsid w:val="009A62DF"/>
    <w:rsid w:val="009A778C"/>
    <w:rsid w:val="009A7C95"/>
    <w:rsid w:val="009B116B"/>
    <w:rsid w:val="009B1A1B"/>
    <w:rsid w:val="009B4A15"/>
    <w:rsid w:val="009B649C"/>
    <w:rsid w:val="009B6503"/>
    <w:rsid w:val="009B7956"/>
    <w:rsid w:val="009C0C34"/>
    <w:rsid w:val="009C3225"/>
    <w:rsid w:val="009C44D8"/>
    <w:rsid w:val="009C4A93"/>
    <w:rsid w:val="009C5128"/>
    <w:rsid w:val="009C6569"/>
    <w:rsid w:val="009C7AC3"/>
    <w:rsid w:val="009D001F"/>
    <w:rsid w:val="009D021C"/>
    <w:rsid w:val="009D03AF"/>
    <w:rsid w:val="009D1533"/>
    <w:rsid w:val="009D2143"/>
    <w:rsid w:val="009D390B"/>
    <w:rsid w:val="009D3AF6"/>
    <w:rsid w:val="009D459F"/>
    <w:rsid w:val="009D4A95"/>
    <w:rsid w:val="009D6F9F"/>
    <w:rsid w:val="009D7709"/>
    <w:rsid w:val="009E0C09"/>
    <w:rsid w:val="009E0FB1"/>
    <w:rsid w:val="009E10BF"/>
    <w:rsid w:val="009E1462"/>
    <w:rsid w:val="009E1B4B"/>
    <w:rsid w:val="009E1BF1"/>
    <w:rsid w:val="009E1DE4"/>
    <w:rsid w:val="009E308A"/>
    <w:rsid w:val="009E5C1E"/>
    <w:rsid w:val="009E6B86"/>
    <w:rsid w:val="009E6E69"/>
    <w:rsid w:val="009E6FCC"/>
    <w:rsid w:val="009F002C"/>
    <w:rsid w:val="009F0B00"/>
    <w:rsid w:val="009F26F4"/>
    <w:rsid w:val="009F2BA2"/>
    <w:rsid w:val="009F4DE9"/>
    <w:rsid w:val="009F5481"/>
    <w:rsid w:val="009F5BFD"/>
    <w:rsid w:val="009F5C45"/>
    <w:rsid w:val="009F6706"/>
    <w:rsid w:val="009F720A"/>
    <w:rsid w:val="00A00EC9"/>
    <w:rsid w:val="00A01512"/>
    <w:rsid w:val="00A01E2D"/>
    <w:rsid w:val="00A022F5"/>
    <w:rsid w:val="00A025C4"/>
    <w:rsid w:val="00A02CAE"/>
    <w:rsid w:val="00A03524"/>
    <w:rsid w:val="00A0487D"/>
    <w:rsid w:val="00A05BFF"/>
    <w:rsid w:val="00A0656B"/>
    <w:rsid w:val="00A06C43"/>
    <w:rsid w:val="00A07289"/>
    <w:rsid w:val="00A07627"/>
    <w:rsid w:val="00A07973"/>
    <w:rsid w:val="00A10308"/>
    <w:rsid w:val="00A105D7"/>
    <w:rsid w:val="00A109A9"/>
    <w:rsid w:val="00A11DFB"/>
    <w:rsid w:val="00A12F1D"/>
    <w:rsid w:val="00A14C20"/>
    <w:rsid w:val="00A16707"/>
    <w:rsid w:val="00A20338"/>
    <w:rsid w:val="00A20888"/>
    <w:rsid w:val="00A20BF7"/>
    <w:rsid w:val="00A2245B"/>
    <w:rsid w:val="00A22CAE"/>
    <w:rsid w:val="00A231F9"/>
    <w:rsid w:val="00A24638"/>
    <w:rsid w:val="00A24719"/>
    <w:rsid w:val="00A249DD"/>
    <w:rsid w:val="00A24C76"/>
    <w:rsid w:val="00A25745"/>
    <w:rsid w:val="00A259C9"/>
    <w:rsid w:val="00A25BAE"/>
    <w:rsid w:val="00A268C7"/>
    <w:rsid w:val="00A26C71"/>
    <w:rsid w:val="00A26CAB"/>
    <w:rsid w:val="00A305C8"/>
    <w:rsid w:val="00A30A07"/>
    <w:rsid w:val="00A3160A"/>
    <w:rsid w:val="00A32701"/>
    <w:rsid w:val="00A34135"/>
    <w:rsid w:val="00A346C6"/>
    <w:rsid w:val="00A348A9"/>
    <w:rsid w:val="00A349D6"/>
    <w:rsid w:val="00A349FF"/>
    <w:rsid w:val="00A34FE6"/>
    <w:rsid w:val="00A35C8B"/>
    <w:rsid w:val="00A35FB3"/>
    <w:rsid w:val="00A37DA6"/>
    <w:rsid w:val="00A40016"/>
    <w:rsid w:val="00A4048F"/>
    <w:rsid w:val="00A41372"/>
    <w:rsid w:val="00A4194D"/>
    <w:rsid w:val="00A4209A"/>
    <w:rsid w:val="00A4301F"/>
    <w:rsid w:val="00A4322A"/>
    <w:rsid w:val="00A43E2C"/>
    <w:rsid w:val="00A44D9F"/>
    <w:rsid w:val="00A44FE3"/>
    <w:rsid w:val="00A45560"/>
    <w:rsid w:val="00A46B82"/>
    <w:rsid w:val="00A46FBF"/>
    <w:rsid w:val="00A473E4"/>
    <w:rsid w:val="00A50A9E"/>
    <w:rsid w:val="00A51DA5"/>
    <w:rsid w:val="00A52999"/>
    <w:rsid w:val="00A55C05"/>
    <w:rsid w:val="00A577D0"/>
    <w:rsid w:val="00A60303"/>
    <w:rsid w:val="00A61956"/>
    <w:rsid w:val="00A61E84"/>
    <w:rsid w:val="00A62D1E"/>
    <w:rsid w:val="00A62EE1"/>
    <w:rsid w:val="00A6313A"/>
    <w:rsid w:val="00A64C2F"/>
    <w:rsid w:val="00A64F4A"/>
    <w:rsid w:val="00A653D1"/>
    <w:rsid w:val="00A70B20"/>
    <w:rsid w:val="00A7119B"/>
    <w:rsid w:val="00A71728"/>
    <w:rsid w:val="00A71890"/>
    <w:rsid w:val="00A71E28"/>
    <w:rsid w:val="00A7372D"/>
    <w:rsid w:val="00A7435F"/>
    <w:rsid w:val="00A74A07"/>
    <w:rsid w:val="00A74A73"/>
    <w:rsid w:val="00A7569E"/>
    <w:rsid w:val="00A802CF"/>
    <w:rsid w:val="00A804CE"/>
    <w:rsid w:val="00A81922"/>
    <w:rsid w:val="00A81FC9"/>
    <w:rsid w:val="00A81FD8"/>
    <w:rsid w:val="00A82345"/>
    <w:rsid w:val="00A837F4"/>
    <w:rsid w:val="00A84EFE"/>
    <w:rsid w:val="00A85752"/>
    <w:rsid w:val="00A85E6A"/>
    <w:rsid w:val="00A860E4"/>
    <w:rsid w:val="00A8674C"/>
    <w:rsid w:val="00A879B9"/>
    <w:rsid w:val="00A905D7"/>
    <w:rsid w:val="00A90D0E"/>
    <w:rsid w:val="00A913AC"/>
    <w:rsid w:val="00A91D21"/>
    <w:rsid w:val="00A92916"/>
    <w:rsid w:val="00A92D30"/>
    <w:rsid w:val="00A944FE"/>
    <w:rsid w:val="00A94E33"/>
    <w:rsid w:val="00A94F27"/>
    <w:rsid w:val="00A961F6"/>
    <w:rsid w:val="00A966F2"/>
    <w:rsid w:val="00A969A2"/>
    <w:rsid w:val="00A96EA7"/>
    <w:rsid w:val="00AA00DD"/>
    <w:rsid w:val="00AA17E2"/>
    <w:rsid w:val="00AA25E8"/>
    <w:rsid w:val="00AA3A7B"/>
    <w:rsid w:val="00AA629F"/>
    <w:rsid w:val="00AA7AD2"/>
    <w:rsid w:val="00AB0255"/>
    <w:rsid w:val="00AB13B8"/>
    <w:rsid w:val="00AB1D2F"/>
    <w:rsid w:val="00AB2412"/>
    <w:rsid w:val="00AB62F0"/>
    <w:rsid w:val="00AB7B70"/>
    <w:rsid w:val="00AC00F3"/>
    <w:rsid w:val="00AC0143"/>
    <w:rsid w:val="00AC13E1"/>
    <w:rsid w:val="00AC2897"/>
    <w:rsid w:val="00AC3622"/>
    <w:rsid w:val="00AC504B"/>
    <w:rsid w:val="00AC5063"/>
    <w:rsid w:val="00AC506A"/>
    <w:rsid w:val="00AC70E6"/>
    <w:rsid w:val="00AC72C9"/>
    <w:rsid w:val="00AD0912"/>
    <w:rsid w:val="00AD0A1B"/>
    <w:rsid w:val="00AD120F"/>
    <w:rsid w:val="00AD1B1E"/>
    <w:rsid w:val="00AD23C4"/>
    <w:rsid w:val="00AD3545"/>
    <w:rsid w:val="00AD5B91"/>
    <w:rsid w:val="00AD6746"/>
    <w:rsid w:val="00AD7B0B"/>
    <w:rsid w:val="00AE17C2"/>
    <w:rsid w:val="00AE2F33"/>
    <w:rsid w:val="00AE3054"/>
    <w:rsid w:val="00AE3B02"/>
    <w:rsid w:val="00AE3F66"/>
    <w:rsid w:val="00AE484A"/>
    <w:rsid w:val="00AE4AB0"/>
    <w:rsid w:val="00AE4EB5"/>
    <w:rsid w:val="00AE50BF"/>
    <w:rsid w:val="00AE5B2F"/>
    <w:rsid w:val="00AE6303"/>
    <w:rsid w:val="00AE6784"/>
    <w:rsid w:val="00AE77A3"/>
    <w:rsid w:val="00AF0552"/>
    <w:rsid w:val="00AF0CE2"/>
    <w:rsid w:val="00AF1118"/>
    <w:rsid w:val="00AF288F"/>
    <w:rsid w:val="00AF2D01"/>
    <w:rsid w:val="00AF3876"/>
    <w:rsid w:val="00AF3BC3"/>
    <w:rsid w:val="00AF47DD"/>
    <w:rsid w:val="00AF480C"/>
    <w:rsid w:val="00AF524C"/>
    <w:rsid w:val="00AF632D"/>
    <w:rsid w:val="00AF6BD6"/>
    <w:rsid w:val="00AF6D5C"/>
    <w:rsid w:val="00B005E5"/>
    <w:rsid w:val="00B006B4"/>
    <w:rsid w:val="00B00AF9"/>
    <w:rsid w:val="00B01205"/>
    <w:rsid w:val="00B01321"/>
    <w:rsid w:val="00B01CEC"/>
    <w:rsid w:val="00B01D6D"/>
    <w:rsid w:val="00B02016"/>
    <w:rsid w:val="00B030CB"/>
    <w:rsid w:val="00B03CD1"/>
    <w:rsid w:val="00B050BD"/>
    <w:rsid w:val="00B05DAE"/>
    <w:rsid w:val="00B06528"/>
    <w:rsid w:val="00B077F5"/>
    <w:rsid w:val="00B102A8"/>
    <w:rsid w:val="00B11192"/>
    <w:rsid w:val="00B11465"/>
    <w:rsid w:val="00B1164D"/>
    <w:rsid w:val="00B11BA5"/>
    <w:rsid w:val="00B12AED"/>
    <w:rsid w:val="00B15C5E"/>
    <w:rsid w:val="00B16335"/>
    <w:rsid w:val="00B16D2D"/>
    <w:rsid w:val="00B17180"/>
    <w:rsid w:val="00B17A3F"/>
    <w:rsid w:val="00B17D54"/>
    <w:rsid w:val="00B202C0"/>
    <w:rsid w:val="00B202D7"/>
    <w:rsid w:val="00B20DA0"/>
    <w:rsid w:val="00B2123C"/>
    <w:rsid w:val="00B21D67"/>
    <w:rsid w:val="00B2212E"/>
    <w:rsid w:val="00B224CE"/>
    <w:rsid w:val="00B22E71"/>
    <w:rsid w:val="00B24EFC"/>
    <w:rsid w:val="00B2602D"/>
    <w:rsid w:val="00B27B92"/>
    <w:rsid w:val="00B30E54"/>
    <w:rsid w:val="00B31C7F"/>
    <w:rsid w:val="00B323BB"/>
    <w:rsid w:val="00B32F22"/>
    <w:rsid w:val="00B33027"/>
    <w:rsid w:val="00B3361D"/>
    <w:rsid w:val="00B341BB"/>
    <w:rsid w:val="00B342B2"/>
    <w:rsid w:val="00B3606A"/>
    <w:rsid w:val="00B370B2"/>
    <w:rsid w:val="00B41087"/>
    <w:rsid w:val="00B4152C"/>
    <w:rsid w:val="00B41DC0"/>
    <w:rsid w:val="00B42774"/>
    <w:rsid w:val="00B438D0"/>
    <w:rsid w:val="00B43DBB"/>
    <w:rsid w:val="00B45183"/>
    <w:rsid w:val="00B4565F"/>
    <w:rsid w:val="00B46BB6"/>
    <w:rsid w:val="00B46DCF"/>
    <w:rsid w:val="00B46FF7"/>
    <w:rsid w:val="00B479A7"/>
    <w:rsid w:val="00B51A79"/>
    <w:rsid w:val="00B54425"/>
    <w:rsid w:val="00B54A4D"/>
    <w:rsid w:val="00B5533E"/>
    <w:rsid w:val="00B55860"/>
    <w:rsid w:val="00B55972"/>
    <w:rsid w:val="00B5599B"/>
    <w:rsid w:val="00B55B99"/>
    <w:rsid w:val="00B55F48"/>
    <w:rsid w:val="00B600DD"/>
    <w:rsid w:val="00B6145F"/>
    <w:rsid w:val="00B62A63"/>
    <w:rsid w:val="00B62BF6"/>
    <w:rsid w:val="00B62FD6"/>
    <w:rsid w:val="00B6329C"/>
    <w:rsid w:val="00B63B10"/>
    <w:rsid w:val="00B63BF9"/>
    <w:rsid w:val="00B658C2"/>
    <w:rsid w:val="00B661A7"/>
    <w:rsid w:val="00B6706C"/>
    <w:rsid w:val="00B6714E"/>
    <w:rsid w:val="00B7338A"/>
    <w:rsid w:val="00B7457F"/>
    <w:rsid w:val="00B7472D"/>
    <w:rsid w:val="00B7536B"/>
    <w:rsid w:val="00B75374"/>
    <w:rsid w:val="00B75D2A"/>
    <w:rsid w:val="00B7683C"/>
    <w:rsid w:val="00B768C1"/>
    <w:rsid w:val="00B76B39"/>
    <w:rsid w:val="00B77072"/>
    <w:rsid w:val="00B7713D"/>
    <w:rsid w:val="00B774C1"/>
    <w:rsid w:val="00B81328"/>
    <w:rsid w:val="00B82EC3"/>
    <w:rsid w:val="00B83C55"/>
    <w:rsid w:val="00B83F9F"/>
    <w:rsid w:val="00B84C78"/>
    <w:rsid w:val="00B875BF"/>
    <w:rsid w:val="00B87C9B"/>
    <w:rsid w:val="00B912A8"/>
    <w:rsid w:val="00B94DAE"/>
    <w:rsid w:val="00B94E1A"/>
    <w:rsid w:val="00B955D5"/>
    <w:rsid w:val="00B95698"/>
    <w:rsid w:val="00B95CBD"/>
    <w:rsid w:val="00B964D4"/>
    <w:rsid w:val="00B966CC"/>
    <w:rsid w:val="00B96CB1"/>
    <w:rsid w:val="00B97564"/>
    <w:rsid w:val="00B97FC9"/>
    <w:rsid w:val="00BA0128"/>
    <w:rsid w:val="00BA05EE"/>
    <w:rsid w:val="00BA0607"/>
    <w:rsid w:val="00BA295B"/>
    <w:rsid w:val="00BA2FBD"/>
    <w:rsid w:val="00BA3A1A"/>
    <w:rsid w:val="00BA3A90"/>
    <w:rsid w:val="00BA3DE2"/>
    <w:rsid w:val="00BA4A36"/>
    <w:rsid w:val="00BA6262"/>
    <w:rsid w:val="00BB0986"/>
    <w:rsid w:val="00BB10C4"/>
    <w:rsid w:val="00BB13BF"/>
    <w:rsid w:val="00BB175E"/>
    <w:rsid w:val="00BB3390"/>
    <w:rsid w:val="00BB4410"/>
    <w:rsid w:val="00BB4A57"/>
    <w:rsid w:val="00BB4D9A"/>
    <w:rsid w:val="00BB58B0"/>
    <w:rsid w:val="00BB5F88"/>
    <w:rsid w:val="00BB6981"/>
    <w:rsid w:val="00BB7DA3"/>
    <w:rsid w:val="00BC00AA"/>
    <w:rsid w:val="00BC0704"/>
    <w:rsid w:val="00BC1F20"/>
    <w:rsid w:val="00BC4AB3"/>
    <w:rsid w:val="00BC5442"/>
    <w:rsid w:val="00BC5CAB"/>
    <w:rsid w:val="00BC68F2"/>
    <w:rsid w:val="00BD117A"/>
    <w:rsid w:val="00BD2320"/>
    <w:rsid w:val="00BD4034"/>
    <w:rsid w:val="00BD443C"/>
    <w:rsid w:val="00BD4C68"/>
    <w:rsid w:val="00BD508D"/>
    <w:rsid w:val="00BD511F"/>
    <w:rsid w:val="00BD53C8"/>
    <w:rsid w:val="00BD55CC"/>
    <w:rsid w:val="00BD6CE8"/>
    <w:rsid w:val="00BD70CB"/>
    <w:rsid w:val="00BE1588"/>
    <w:rsid w:val="00BE1A60"/>
    <w:rsid w:val="00BE2752"/>
    <w:rsid w:val="00BE453C"/>
    <w:rsid w:val="00BE635F"/>
    <w:rsid w:val="00BE697E"/>
    <w:rsid w:val="00BE6BF3"/>
    <w:rsid w:val="00BE6E22"/>
    <w:rsid w:val="00BE6EAE"/>
    <w:rsid w:val="00BE799E"/>
    <w:rsid w:val="00BF0510"/>
    <w:rsid w:val="00BF07D2"/>
    <w:rsid w:val="00BF1DEA"/>
    <w:rsid w:val="00BF2E0D"/>
    <w:rsid w:val="00BF3392"/>
    <w:rsid w:val="00BF3B18"/>
    <w:rsid w:val="00BF4DF8"/>
    <w:rsid w:val="00BF5F45"/>
    <w:rsid w:val="00BF7534"/>
    <w:rsid w:val="00BF7BBD"/>
    <w:rsid w:val="00C008F9"/>
    <w:rsid w:val="00C00EA5"/>
    <w:rsid w:val="00C021B6"/>
    <w:rsid w:val="00C02AFB"/>
    <w:rsid w:val="00C02B45"/>
    <w:rsid w:val="00C03001"/>
    <w:rsid w:val="00C05944"/>
    <w:rsid w:val="00C077EB"/>
    <w:rsid w:val="00C0781E"/>
    <w:rsid w:val="00C109B1"/>
    <w:rsid w:val="00C1199A"/>
    <w:rsid w:val="00C13521"/>
    <w:rsid w:val="00C138CD"/>
    <w:rsid w:val="00C142FE"/>
    <w:rsid w:val="00C14AD9"/>
    <w:rsid w:val="00C14B6D"/>
    <w:rsid w:val="00C150BE"/>
    <w:rsid w:val="00C20914"/>
    <w:rsid w:val="00C210BE"/>
    <w:rsid w:val="00C22152"/>
    <w:rsid w:val="00C23442"/>
    <w:rsid w:val="00C2565C"/>
    <w:rsid w:val="00C2609F"/>
    <w:rsid w:val="00C26295"/>
    <w:rsid w:val="00C2764E"/>
    <w:rsid w:val="00C3043E"/>
    <w:rsid w:val="00C30C24"/>
    <w:rsid w:val="00C312CD"/>
    <w:rsid w:val="00C3259D"/>
    <w:rsid w:val="00C32819"/>
    <w:rsid w:val="00C32ADF"/>
    <w:rsid w:val="00C32C1C"/>
    <w:rsid w:val="00C32E59"/>
    <w:rsid w:val="00C33382"/>
    <w:rsid w:val="00C33607"/>
    <w:rsid w:val="00C33F80"/>
    <w:rsid w:val="00C35149"/>
    <w:rsid w:val="00C35951"/>
    <w:rsid w:val="00C3604E"/>
    <w:rsid w:val="00C37124"/>
    <w:rsid w:val="00C407C9"/>
    <w:rsid w:val="00C40961"/>
    <w:rsid w:val="00C40B82"/>
    <w:rsid w:val="00C40EAB"/>
    <w:rsid w:val="00C4105F"/>
    <w:rsid w:val="00C41367"/>
    <w:rsid w:val="00C41A49"/>
    <w:rsid w:val="00C42C2E"/>
    <w:rsid w:val="00C43362"/>
    <w:rsid w:val="00C43806"/>
    <w:rsid w:val="00C441D9"/>
    <w:rsid w:val="00C44BAF"/>
    <w:rsid w:val="00C46470"/>
    <w:rsid w:val="00C46A70"/>
    <w:rsid w:val="00C50E2F"/>
    <w:rsid w:val="00C51CFA"/>
    <w:rsid w:val="00C5214B"/>
    <w:rsid w:val="00C5287A"/>
    <w:rsid w:val="00C5359A"/>
    <w:rsid w:val="00C53AD5"/>
    <w:rsid w:val="00C542F6"/>
    <w:rsid w:val="00C546EF"/>
    <w:rsid w:val="00C54727"/>
    <w:rsid w:val="00C54A23"/>
    <w:rsid w:val="00C557ED"/>
    <w:rsid w:val="00C569EC"/>
    <w:rsid w:val="00C573EE"/>
    <w:rsid w:val="00C576FB"/>
    <w:rsid w:val="00C60269"/>
    <w:rsid w:val="00C60276"/>
    <w:rsid w:val="00C61911"/>
    <w:rsid w:val="00C62047"/>
    <w:rsid w:val="00C63593"/>
    <w:rsid w:val="00C64696"/>
    <w:rsid w:val="00C6642C"/>
    <w:rsid w:val="00C66AFE"/>
    <w:rsid w:val="00C6781F"/>
    <w:rsid w:val="00C707FB"/>
    <w:rsid w:val="00C708EE"/>
    <w:rsid w:val="00C70B18"/>
    <w:rsid w:val="00C71A61"/>
    <w:rsid w:val="00C741D6"/>
    <w:rsid w:val="00C74AE3"/>
    <w:rsid w:val="00C80173"/>
    <w:rsid w:val="00C8053E"/>
    <w:rsid w:val="00C81FB7"/>
    <w:rsid w:val="00C82CE5"/>
    <w:rsid w:val="00C84125"/>
    <w:rsid w:val="00C8680B"/>
    <w:rsid w:val="00C86F34"/>
    <w:rsid w:val="00C9005F"/>
    <w:rsid w:val="00C9060C"/>
    <w:rsid w:val="00C920A1"/>
    <w:rsid w:val="00C93AFE"/>
    <w:rsid w:val="00C9495E"/>
    <w:rsid w:val="00C950C3"/>
    <w:rsid w:val="00C95427"/>
    <w:rsid w:val="00C95F84"/>
    <w:rsid w:val="00C96105"/>
    <w:rsid w:val="00C9648E"/>
    <w:rsid w:val="00C97981"/>
    <w:rsid w:val="00CA0689"/>
    <w:rsid w:val="00CA104E"/>
    <w:rsid w:val="00CA1349"/>
    <w:rsid w:val="00CA17B0"/>
    <w:rsid w:val="00CA1A3C"/>
    <w:rsid w:val="00CA5168"/>
    <w:rsid w:val="00CA5457"/>
    <w:rsid w:val="00CA6212"/>
    <w:rsid w:val="00CA74B3"/>
    <w:rsid w:val="00CA7BFE"/>
    <w:rsid w:val="00CB0884"/>
    <w:rsid w:val="00CB10F9"/>
    <w:rsid w:val="00CB1C43"/>
    <w:rsid w:val="00CB20CE"/>
    <w:rsid w:val="00CB35A2"/>
    <w:rsid w:val="00CB3715"/>
    <w:rsid w:val="00CB3740"/>
    <w:rsid w:val="00CB3D1B"/>
    <w:rsid w:val="00CB45F4"/>
    <w:rsid w:val="00CB4D9A"/>
    <w:rsid w:val="00CB5ACB"/>
    <w:rsid w:val="00CB6F45"/>
    <w:rsid w:val="00CB748C"/>
    <w:rsid w:val="00CB7FBD"/>
    <w:rsid w:val="00CC0651"/>
    <w:rsid w:val="00CC10E0"/>
    <w:rsid w:val="00CC12AE"/>
    <w:rsid w:val="00CC2A08"/>
    <w:rsid w:val="00CC3008"/>
    <w:rsid w:val="00CC371A"/>
    <w:rsid w:val="00CC3BEB"/>
    <w:rsid w:val="00CC3E6E"/>
    <w:rsid w:val="00CC440E"/>
    <w:rsid w:val="00CC48BE"/>
    <w:rsid w:val="00CD1C5C"/>
    <w:rsid w:val="00CD2917"/>
    <w:rsid w:val="00CD304E"/>
    <w:rsid w:val="00CD34F3"/>
    <w:rsid w:val="00CD35BC"/>
    <w:rsid w:val="00CD3959"/>
    <w:rsid w:val="00CD3BE1"/>
    <w:rsid w:val="00CD4EEA"/>
    <w:rsid w:val="00CD4F7C"/>
    <w:rsid w:val="00CD5AF0"/>
    <w:rsid w:val="00CD6DB6"/>
    <w:rsid w:val="00CD7977"/>
    <w:rsid w:val="00CE04D7"/>
    <w:rsid w:val="00CE07BD"/>
    <w:rsid w:val="00CE1DD7"/>
    <w:rsid w:val="00CE20E5"/>
    <w:rsid w:val="00CE2342"/>
    <w:rsid w:val="00CE2CE9"/>
    <w:rsid w:val="00CE2FAB"/>
    <w:rsid w:val="00CE3721"/>
    <w:rsid w:val="00CE69A8"/>
    <w:rsid w:val="00CE7DD8"/>
    <w:rsid w:val="00CF1DA9"/>
    <w:rsid w:val="00CF20DC"/>
    <w:rsid w:val="00CF2F39"/>
    <w:rsid w:val="00CF330E"/>
    <w:rsid w:val="00CF3B34"/>
    <w:rsid w:val="00CF3D4E"/>
    <w:rsid w:val="00CF5383"/>
    <w:rsid w:val="00CF62B2"/>
    <w:rsid w:val="00CF68F2"/>
    <w:rsid w:val="00CF7278"/>
    <w:rsid w:val="00CF78B4"/>
    <w:rsid w:val="00D003B9"/>
    <w:rsid w:val="00D0046B"/>
    <w:rsid w:val="00D01DA0"/>
    <w:rsid w:val="00D0317B"/>
    <w:rsid w:val="00D03CDB"/>
    <w:rsid w:val="00D04CCE"/>
    <w:rsid w:val="00D05680"/>
    <w:rsid w:val="00D05CA2"/>
    <w:rsid w:val="00D062AF"/>
    <w:rsid w:val="00D067A3"/>
    <w:rsid w:val="00D06A05"/>
    <w:rsid w:val="00D07196"/>
    <w:rsid w:val="00D0723A"/>
    <w:rsid w:val="00D0778C"/>
    <w:rsid w:val="00D078D1"/>
    <w:rsid w:val="00D07940"/>
    <w:rsid w:val="00D07A4F"/>
    <w:rsid w:val="00D11140"/>
    <w:rsid w:val="00D1182A"/>
    <w:rsid w:val="00D11D51"/>
    <w:rsid w:val="00D13830"/>
    <w:rsid w:val="00D13FEC"/>
    <w:rsid w:val="00D14930"/>
    <w:rsid w:val="00D15670"/>
    <w:rsid w:val="00D158A4"/>
    <w:rsid w:val="00D16AB9"/>
    <w:rsid w:val="00D16D05"/>
    <w:rsid w:val="00D20030"/>
    <w:rsid w:val="00D2109B"/>
    <w:rsid w:val="00D210B1"/>
    <w:rsid w:val="00D21313"/>
    <w:rsid w:val="00D23D2D"/>
    <w:rsid w:val="00D24027"/>
    <w:rsid w:val="00D262D8"/>
    <w:rsid w:val="00D3075E"/>
    <w:rsid w:val="00D32F66"/>
    <w:rsid w:val="00D33434"/>
    <w:rsid w:val="00D334B3"/>
    <w:rsid w:val="00D33D34"/>
    <w:rsid w:val="00D33F8A"/>
    <w:rsid w:val="00D35381"/>
    <w:rsid w:val="00D360A3"/>
    <w:rsid w:val="00D366C8"/>
    <w:rsid w:val="00D37115"/>
    <w:rsid w:val="00D41C85"/>
    <w:rsid w:val="00D4223F"/>
    <w:rsid w:val="00D42A63"/>
    <w:rsid w:val="00D43A28"/>
    <w:rsid w:val="00D44E9C"/>
    <w:rsid w:val="00D476AE"/>
    <w:rsid w:val="00D4790A"/>
    <w:rsid w:val="00D50581"/>
    <w:rsid w:val="00D51522"/>
    <w:rsid w:val="00D524FD"/>
    <w:rsid w:val="00D52A34"/>
    <w:rsid w:val="00D53831"/>
    <w:rsid w:val="00D53C5F"/>
    <w:rsid w:val="00D545DE"/>
    <w:rsid w:val="00D55869"/>
    <w:rsid w:val="00D5612E"/>
    <w:rsid w:val="00D57878"/>
    <w:rsid w:val="00D60903"/>
    <w:rsid w:val="00D60982"/>
    <w:rsid w:val="00D61C6D"/>
    <w:rsid w:val="00D61F54"/>
    <w:rsid w:val="00D6328C"/>
    <w:rsid w:val="00D648C8"/>
    <w:rsid w:val="00D64EE4"/>
    <w:rsid w:val="00D66412"/>
    <w:rsid w:val="00D6674A"/>
    <w:rsid w:val="00D70DB3"/>
    <w:rsid w:val="00D71EE7"/>
    <w:rsid w:val="00D72455"/>
    <w:rsid w:val="00D73575"/>
    <w:rsid w:val="00D73BC0"/>
    <w:rsid w:val="00D743C9"/>
    <w:rsid w:val="00D76E7C"/>
    <w:rsid w:val="00D77352"/>
    <w:rsid w:val="00D77AB5"/>
    <w:rsid w:val="00D77AEB"/>
    <w:rsid w:val="00D80088"/>
    <w:rsid w:val="00D80D20"/>
    <w:rsid w:val="00D81C19"/>
    <w:rsid w:val="00D82AE2"/>
    <w:rsid w:val="00D8302A"/>
    <w:rsid w:val="00D83733"/>
    <w:rsid w:val="00D83996"/>
    <w:rsid w:val="00D83AAF"/>
    <w:rsid w:val="00D83C7C"/>
    <w:rsid w:val="00D83D18"/>
    <w:rsid w:val="00D8434B"/>
    <w:rsid w:val="00D843BE"/>
    <w:rsid w:val="00D85B58"/>
    <w:rsid w:val="00D85D31"/>
    <w:rsid w:val="00D8700F"/>
    <w:rsid w:val="00D91FBF"/>
    <w:rsid w:val="00D92106"/>
    <w:rsid w:val="00D921A7"/>
    <w:rsid w:val="00D9227B"/>
    <w:rsid w:val="00D92B64"/>
    <w:rsid w:val="00D93FAF"/>
    <w:rsid w:val="00D96536"/>
    <w:rsid w:val="00D966F0"/>
    <w:rsid w:val="00D96A0F"/>
    <w:rsid w:val="00D97A0F"/>
    <w:rsid w:val="00DA08C1"/>
    <w:rsid w:val="00DA0E99"/>
    <w:rsid w:val="00DA0FCD"/>
    <w:rsid w:val="00DA22BD"/>
    <w:rsid w:val="00DA25B2"/>
    <w:rsid w:val="00DA3995"/>
    <w:rsid w:val="00DA416F"/>
    <w:rsid w:val="00DA5FBC"/>
    <w:rsid w:val="00DA7D01"/>
    <w:rsid w:val="00DB22E1"/>
    <w:rsid w:val="00DB31D7"/>
    <w:rsid w:val="00DB3947"/>
    <w:rsid w:val="00DB3B9F"/>
    <w:rsid w:val="00DB3E6F"/>
    <w:rsid w:val="00DB3FA9"/>
    <w:rsid w:val="00DB5D80"/>
    <w:rsid w:val="00DB602B"/>
    <w:rsid w:val="00DB631C"/>
    <w:rsid w:val="00DB6A18"/>
    <w:rsid w:val="00DB6B0C"/>
    <w:rsid w:val="00DB746B"/>
    <w:rsid w:val="00DB7ECC"/>
    <w:rsid w:val="00DC08BC"/>
    <w:rsid w:val="00DC1AD3"/>
    <w:rsid w:val="00DC51E0"/>
    <w:rsid w:val="00DC7576"/>
    <w:rsid w:val="00DD0BF4"/>
    <w:rsid w:val="00DD126E"/>
    <w:rsid w:val="00DD1278"/>
    <w:rsid w:val="00DD1B61"/>
    <w:rsid w:val="00DD1B6E"/>
    <w:rsid w:val="00DD1EA1"/>
    <w:rsid w:val="00DD2D55"/>
    <w:rsid w:val="00DD4541"/>
    <w:rsid w:val="00DD4748"/>
    <w:rsid w:val="00DD51DB"/>
    <w:rsid w:val="00DD597F"/>
    <w:rsid w:val="00DD5CC6"/>
    <w:rsid w:val="00DD72DC"/>
    <w:rsid w:val="00DE037D"/>
    <w:rsid w:val="00DE23D0"/>
    <w:rsid w:val="00DE2C1C"/>
    <w:rsid w:val="00DE2E68"/>
    <w:rsid w:val="00DE35ED"/>
    <w:rsid w:val="00DE5C54"/>
    <w:rsid w:val="00DE6201"/>
    <w:rsid w:val="00DE69A1"/>
    <w:rsid w:val="00DE6AC2"/>
    <w:rsid w:val="00DE75E3"/>
    <w:rsid w:val="00DF081D"/>
    <w:rsid w:val="00DF09DB"/>
    <w:rsid w:val="00DF0DDE"/>
    <w:rsid w:val="00DF0EC4"/>
    <w:rsid w:val="00DF18DA"/>
    <w:rsid w:val="00DF1B34"/>
    <w:rsid w:val="00DF23E9"/>
    <w:rsid w:val="00DF25E6"/>
    <w:rsid w:val="00DF26A3"/>
    <w:rsid w:val="00DF2F6B"/>
    <w:rsid w:val="00DF36D3"/>
    <w:rsid w:val="00DF4776"/>
    <w:rsid w:val="00DF718D"/>
    <w:rsid w:val="00DF72BA"/>
    <w:rsid w:val="00DF7C5C"/>
    <w:rsid w:val="00DF7D3E"/>
    <w:rsid w:val="00E000C7"/>
    <w:rsid w:val="00E00906"/>
    <w:rsid w:val="00E00E2A"/>
    <w:rsid w:val="00E00EC7"/>
    <w:rsid w:val="00E01027"/>
    <w:rsid w:val="00E01622"/>
    <w:rsid w:val="00E02CBA"/>
    <w:rsid w:val="00E04369"/>
    <w:rsid w:val="00E0514C"/>
    <w:rsid w:val="00E06636"/>
    <w:rsid w:val="00E06C25"/>
    <w:rsid w:val="00E07178"/>
    <w:rsid w:val="00E104ED"/>
    <w:rsid w:val="00E10ACA"/>
    <w:rsid w:val="00E12267"/>
    <w:rsid w:val="00E12A5E"/>
    <w:rsid w:val="00E13E9B"/>
    <w:rsid w:val="00E179DF"/>
    <w:rsid w:val="00E17B90"/>
    <w:rsid w:val="00E17E15"/>
    <w:rsid w:val="00E2014B"/>
    <w:rsid w:val="00E20A86"/>
    <w:rsid w:val="00E20EDE"/>
    <w:rsid w:val="00E232AA"/>
    <w:rsid w:val="00E23302"/>
    <w:rsid w:val="00E23DAA"/>
    <w:rsid w:val="00E243E5"/>
    <w:rsid w:val="00E2479C"/>
    <w:rsid w:val="00E24A8C"/>
    <w:rsid w:val="00E25002"/>
    <w:rsid w:val="00E25813"/>
    <w:rsid w:val="00E2614A"/>
    <w:rsid w:val="00E26779"/>
    <w:rsid w:val="00E26B23"/>
    <w:rsid w:val="00E30670"/>
    <w:rsid w:val="00E30894"/>
    <w:rsid w:val="00E3091B"/>
    <w:rsid w:val="00E30CCB"/>
    <w:rsid w:val="00E30E08"/>
    <w:rsid w:val="00E30EFD"/>
    <w:rsid w:val="00E31027"/>
    <w:rsid w:val="00E3108B"/>
    <w:rsid w:val="00E310D8"/>
    <w:rsid w:val="00E31574"/>
    <w:rsid w:val="00E31D99"/>
    <w:rsid w:val="00E33A8A"/>
    <w:rsid w:val="00E33F6F"/>
    <w:rsid w:val="00E342B0"/>
    <w:rsid w:val="00E344FF"/>
    <w:rsid w:val="00E34517"/>
    <w:rsid w:val="00E34C78"/>
    <w:rsid w:val="00E34E27"/>
    <w:rsid w:val="00E36AD5"/>
    <w:rsid w:val="00E36CAD"/>
    <w:rsid w:val="00E413F9"/>
    <w:rsid w:val="00E419CF"/>
    <w:rsid w:val="00E452A6"/>
    <w:rsid w:val="00E4588A"/>
    <w:rsid w:val="00E46062"/>
    <w:rsid w:val="00E4611A"/>
    <w:rsid w:val="00E46510"/>
    <w:rsid w:val="00E46CB6"/>
    <w:rsid w:val="00E478B3"/>
    <w:rsid w:val="00E47E37"/>
    <w:rsid w:val="00E50235"/>
    <w:rsid w:val="00E50EB5"/>
    <w:rsid w:val="00E52477"/>
    <w:rsid w:val="00E52A13"/>
    <w:rsid w:val="00E53AB1"/>
    <w:rsid w:val="00E549F3"/>
    <w:rsid w:val="00E55ACC"/>
    <w:rsid w:val="00E609F4"/>
    <w:rsid w:val="00E61D73"/>
    <w:rsid w:val="00E62B39"/>
    <w:rsid w:val="00E641A0"/>
    <w:rsid w:val="00E648B5"/>
    <w:rsid w:val="00E65D3F"/>
    <w:rsid w:val="00E65E78"/>
    <w:rsid w:val="00E65F60"/>
    <w:rsid w:val="00E6759D"/>
    <w:rsid w:val="00E67F8B"/>
    <w:rsid w:val="00E74F9B"/>
    <w:rsid w:val="00E7592E"/>
    <w:rsid w:val="00E76504"/>
    <w:rsid w:val="00E77142"/>
    <w:rsid w:val="00E77E8A"/>
    <w:rsid w:val="00E805EB"/>
    <w:rsid w:val="00E80E86"/>
    <w:rsid w:val="00E80FBB"/>
    <w:rsid w:val="00E8132B"/>
    <w:rsid w:val="00E81567"/>
    <w:rsid w:val="00E82723"/>
    <w:rsid w:val="00E82A21"/>
    <w:rsid w:val="00E82E88"/>
    <w:rsid w:val="00E83712"/>
    <w:rsid w:val="00E83980"/>
    <w:rsid w:val="00E8407D"/>
    <w:rsid w:val="00E84C97"/>
    <w:rsid w:val="00E85529"/>
    <w:rsid w:val="00E861D4"/>
    <w:rsid w:val="00E869F6"/>
    <w:rsid w:val="00E87F9B"/>
    <w:rsid w:val="00E9051B"/>
    <w:rsid w:val="00E91181"/>
    <w:rsid w:val="00E91F95"/>
    <w:rsid w:val="00E92451"/>
    <w:rsid w:val="00E93046"/>
    <w:rsid w:val="00E95A7E"/>
    <w:rsid w:val="00E960B8"/>
    <w:rsid w:val="00E973C8"/>
    <w:rsid w:val="00EA0F24"/>
    <w:rsid w:val="00EA13B6"/>
    <w:rsid w:val="00EA1EC2"/>
    <w:rsid w:val="00EA2BFC"/>
    <w:rsid w:val="00EA2EE5"/>
    <w:rsid w:val="00EA392B"/>
    <w:rsid w:val="00EA3A9A"/>
    <w:rsid w:val="00EA4560"/>
    <w:rsid w:val="00EA45EA"/>
    <w:rsid w:val="00EA59FC"/>
    <w:rsid w:val="00EA6CBC"/>
    <w:rsid w:val="00EA7522"/>
    <w:rsid w:val="00EA7EB6"/>
    <w:rsid w:val="00EB0ECE"/>
    <w:rsid w:val="00EB1CE0"/>
    <w:rsid w:val="00EB2EB1"/>
    <w:rsid w:val="00EB2FD2"/>
    <w:rsid w:val="00EB3266"/>
    <w:rsid w:val="00EB331D"/>
    <w:rsid w:val="00EB4E4D"/>
    <w:rsid w:val="00EB5333"/>
    <w:rsid w:val="00EB561F"/>
    <w:rsid w:val="00EB5D0F"/>
    <w:rsid w:val="00EB60D0"/>
    <w:rsid w:val="00EB7932"/>
    <w:rsid w:val="00EC01D1"/>
    <w:rsid w:val="00EC0996"/>
    <w:rsid w:val="00EC108E"/>
    <w:rsid w:val="00EC193E"/>
    <w:rsid w:val="00EC19B7"/>
    <w:rsid w:val="00EC1B98"/>
    <w:rsid w:val="00EC40BB"/>
    <w:rsid w:val="00EC5BAB"/>
    <w:rsid w:val="00EC5CD9"/>
    <w:rsid w:val="00EC5E88"/>
    <w:rsid w:val="00EC6ABC"/>
    <w:rsid w:val="00ED02B0"/>
    <w:rsid w:val="00ED066E"/>
    <w:rsid w:val="00ED0947"/>
    <w:rsid w:val="00ED13AD"/>
    <w:rsid w:val="00ED76AC"/>
    <w:rsid w:val="00ED7AE0"/>
    <w:rsid w:val="00EE0CC1"/>
    <w:rsid w:val="00EE11BD"/>
    <w:rsid w:val="00EE1FD3"/>
    <w:rsid w:val="00EE218B"/>
    <w:rsid w:val="00EE2942"/>
    <w:rsid w:val="00EE4217"/>
    <w:rsid w:val="00EE425D"/>
    <w:rsid w:val="00EE5AF8"/>
    <w:rsid w:val="00EE626D"/>
    <w:rsid w:val="00EE6E98"/>
    <w:rsid w:val="00EE7758"/>
    <w:rsid w:val="00EF062C"/>
    <w:rsid w:val="00EF190C"/>
    <w:rsid w:val="00EF3BAA"/>
    <w:rsid w:val="00EF4A03"/>
    <w:rsid w:val="00EF4A1C"/>
    <w:rsid w:val="00EF5613"/>
    <w:rsid w:val="00EF6664"/>
    <w:rsid w:val="00EF79C2"/>
    <w:rsid w:val="00F00596"/>
    <w:rsid w:val="00F0096F"/>
    <w:rsid w:val="00F010C6"/>
    <w:rsid w:val="00F018E9"/>
    <w:rsid w:val="00F0248C"/>
    <w:rsid w:val="00F038E3"/>
    <w:rsid w:val="00F03EE2"/>
    <w:rsid w:val="00F0475B"/>
    <w:rsid w:val="00F04A87"/>
    <w:rsid w:val="00F0518D"/>
    <w:rsid w:val="00F056B8"/>
    <w:rsid w:val="00F06B0E"/>
    <w:rsid w:val="00F103CD"/>
    <w:rsid w:val="00F113C9"/>
    <w:rsid w:val="00F12CDD"/>
    <w:rsid w:val="00F15BCB"/>
    <w:rsid w:val="00F16607"/>
    <w:rsid w:val="00F17029"/>
    <w:rsid w:val="00F170F1"/>
    <w:rsid w:val="00F17165"/>
    <w:rsid w:val="00F22DA8"/>
    <w:rsid w:val="00F241A2"/>
    <w:rsid w:val="00F24829"/>
    <w:rsid w:val="00F24FB7"/>
    <w:rsid w:val="00F25B4D"/>
    <w:rsid w:val="00F265BA"/>
    <w:rsid w:val="00F267BE"/>
    <w:rsid w:val="00F304F4"/>
    <w:rsid w:val="00F30F07"/>
    <w:rsid w:val="00F32186"/>
    <w:rsid w:val="00F32418"/>
    <w:rsid w:val="00F33050"/>
    <w:rsid w:val="00F335B3"/>
    <w:rsid w:val="00F33874"/>
    <w:rsid w:val="00F3402D"/>
    <w:rsid w:val="00F352C0"/>
    <w:rsid w:val="00F357E0"/>
    <w:rsid w:val="00F362B6"/>
    <w:rsid w:val="00F3636E"/>
    <w:rsid w:val="00F36C9C"/>
    <w:rsid w:val="00F36ED2"/>
    <w:rsid w:val="00F4043F"/>
    <w:rsid w:val="00F4258F"/>
    <w:rsid w:val="00F42A5B"/>
    <w:rsid w:val="00F42AD0"/>
    <w:rsid w:val="00F4366C"/>
    <w:rsid w:val="00F43C32"/>
    <w:rsid w:val="00F4478D"/>
    <w:rsid w:val="00F45749"/>
    <w:rsid w:val="00F462E8"/>
    <w:rsid w:val="00F469E4"/>
    <w:rsid w:val="00F47544"/>
    <w:rsid w:val="00F50D64"/>
    <w:rsid w:val="00F51909"/>
    <w:rsid w:val="00F526DA"/>
    <w:rsid w:val="00F53222"/>
    <w:rsid w:val="00F532A8"/>
    <w:rsid w:val="00F54B77"/>
    <w:rsid w:val="00F54B8F"/>
    <w:rsid w:val="00F561CE"/>
    <w:rsid w:val="00F56C20"/>
    <w:rsid w:val="00F56CC2"/>
    <w:rsid w:val="00F571C8"/>
    <w:rsid w:val="00F62A1A"/>
    <w:rsid w:val="00F62A39"/>
    <w:rsid w:val="00F62A9B"/>
    <w:rsid w:val="00F6325E"/>
    <w:rsid w:val="00F65188"/>
    <w:rsid w:val="00F661AC"/>
    <w:rsid w:val="00F6704B"/>
    <w:rsid w:val="00F670AA"/>
    <w:rsid w:val="00F71EA9"/>
    <w:rsid w:val="00F72B38"/>
    <w:rsid w:val="00F73C36"/>
    <w:rsid w:val="00F73EB1"/>
    <w:rsid w:val="00F7414B"/>
    <w:rsid w:val="00F75595"/>
    <w:rsid w:val="00F7698E"/>
    <w:rsid w:val="00F76A14"/>
    <w:rsid w:val="00F76C84"/>
    <w:rsid w:val="00F7769E"/>
    <w:rsid w:val="00F8320F"/>
    <w:rsid w:val="00F83413"/>
    <w:rsid w:val="00F8349B"/>
    <w:rsid w:val="00F8582C"/>
    <w:rsid w:val="00F86530"/>
    <w:rsid w:val="00F86E58"/>
    <w:rsid w:val="00F879E1"/>
    <w:rsid w:val="00F87AEC"/>
    <w:rsid w:val="00F91D17"/>
    <w:rsid w:val="00F92000"/>
    <w:rsid w:val="00F9280B"/>
    <w:rsid w:val="00F92F02"/>
    <w:rsid w:val="00F93A29"/>
    <w:rsid w:val="00F93BEE"/>
    <w:rsid w:val="00F94223"/>
    <w:rsid w:val="00F96104"/>
    <w:rsid w:val="00F96A6B"/>
    <w:rsid w:val="00F96B73"/>
    <w:rsid w:val="00F96D36"/>
    <w:rsid w:val="00F97633"/>
    <w:rsid w:val="00FA0396"/>
    <w:rsid w:val="00FA0B51"/>
    <w:rsid w:val="00FA17B9"/>
    <w:rsid w:val="00FA2198"/>
    <w:rsid w:val="00FA2369"/>
    <w:rsid w:val="00FA2D24"/>
    <w:rsid w:val="00FA3F43"/>
    <w:rsid w:val="00FA4366"/>
    <w:rsid w:val="00FA4BCC"/>
    <w:rsid w:val="00FA4C4B"/>
    <w:rsid w:val="00FA5B15"/>
    <w:rsid w:val="00FA73D2"/>
    <w:rsid w:val="00FA7747"/>
    <w:rsid w:val="00FB0DA3"/>
    <w:rsid w:val="00FB10A1"/>
    <w:rsid w:val="00FB1A81"/>
    <w:rsid w:val="00FB1FC8"/>
    <w:rsid w:val="00FB2AB4"/>
    <w:rsid w:val="00FB34B4"/>
    <w:rsid w:val="00FB3D45"/>
    <w:rsid w:val="00FB3FA5"/>
    <w:rsid w:val="00FB4246"/>
    <w:rsid w:val="00FB4DAC"/>
    <w:rsid w:val="00FB4FEA"/>
    <w:rsid w:val="00FC1281"/>
    <w:rsid w:val="00FC131B"/>
    <w:rsid w:val="00FC20F2"/>
    <w:rsid w:val="00FC3EBF"/>
    <w:rsid w:val="00FC3F18"/>
    <w:rsid w:val="00FC4BCF"/>
    <w:rsid w:val="00FC54ED"/>
    <w:rsid w:val="00FC6547"/>
    <w:rsid w:val="00FC6F80"/>
    <w:rsid w:val="00FC77FF"/>
    <w:rsid w:val="00FD10CC"/>
    <w:rsid w:val="00FD254D"/>
    <w:rsid w:val="00FD29C0"/>
    <w:rsid w:val="00FD2DC3"/>
    <w:rsid w:val="00FD3252"/>
    <w:rsid w:val="00FD3683"/>
    <w:rsid w:val="00FD42E6"/>
    <w:rsid w:val="00FD4B98"/>
    <w:rsid w:val="00FE0AAD"/>
    <w:rsid w:val="00FE0FFB"/>
    <w:rsid w:val="00FE1705"/>
    <w:rsid w:val="00FE2462"/>
    <w:rsid w:val="00FE2D3F"/>
    <w:rsid w:val="00FE2F92"/>
    <w:rsid w:val="00FE4118"/>
    <w:rsid w:val="00FE4AEB"/>
    <w:rsid w:val="00FE5A78"/>
    <w:rsid w:val="00FE5CE5"/>
    <w:rsid w:val="00FE7BD3"/>
    <w:rsid w:val="00FE7E88"/>
    <w:rsid w:val="00FF036B"/>
    <w:rsid w:val="00FF0399"/>
    <w:rsid w:val="00FF0FC4"/>
    <w:rsid w:val="00FF24F9"/>
    <w:rsid w:val="00FF34E0"/>
    <w:rsid w:val="00FF4017"/>
    <w:rsid w:val="00FF4B95"/>
    <w:rsid w:val="00FF7772"/>
    <w:rsid w:val="517E382E"/>
  </w:rsids>
  <m:mathPr>
    <m:mathFont m:val="Cambria Math"/>
    <m:brkBin m:val="before"/>
    <m:brkBinSub m:val="--"/>
    <m:smallFrac m:val="0"/>
    <m:dispDef/>
    <m:lMargin m:val="0"/>
    <m:rMargin m:val="0"/>
    <m:defJc m:val="centerGroup"/>
    <m:wrapIndent m:val="1440"/>
    <m:intLim m:val="subSup"/>
    <m:naryLim m:val="undOvr"/>
  </m:mathPr>
  <w:themeFontLang w:val="ru-RU"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HAnsi" w:cstheme="minorBidi"/>
      </w:rPr>
    </w:rPrDefault>
    <w:pPrDefault/>
  </w:docDefaults>
  <w:latentStyles w:count="260" w:defQFormat="0" w:defUnhideWhenUsed="1" w:defSemiHidden="1" w:defUIPriority="99" w:defLockedState="0">
    <w:lsdException w:qFormat="1" w:unhideWhenUsed="0" w:uiPriority="1" w:semiHidden="0" w:name="Normal"/>
    <w:lsdException w:qFormat="1" w:unhideWhenUsed="0" w:uiPriority="9" w:semiHidden="0" w:name="heading 1"/>
    <w:lsdException w:qFormat="1" w:uiPriority="9" w:semiHidden="0" w:name="heading 2"/>
    <w:lsdException w:qFormat="1" w:uiPriority="0" w:semiHidden="0" w:name="heading 3"/>
    <w:lsdException w:qFormat="1"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39" w:semiHidden="0" w:name="toc 1"/>
    <w:lsdException w:qFormat="1" w:uiPriority="0" w:semiHidden="0" w:name="toc 2"/>
    <w:lsdException w:qFormat="1" w:uiPriority="0" w:semiHidden="0" w:name="toc 3"/>
    <w:lsdException w:qFormat="1" w:unhideWhenUsed="0" w:uiPriority="0" w:semiHidden="0" w:name="toc 4"/>
    <w:lsdException w:uiPriority="39" w:semiHidden="0" w:name="toc 5"/>
    <w:lsdException w:uiPriority="39" w:semiHidden="0" w:name="toc 6"/>
    <w:lsdException w:uiPriority="39" w:semiHidden="0" w:name="toc 7"/>
    <w:lsdException w:uiPriority="39" w:semiHidden="0" w:name="toc 8"/>
    <w:lsdException w:uiPriority="39" w:semiHidden="0" w:name="toc 9"/>
    <w:lsdException w:uiPriority="99" w:name="Normal Indent"/>
    <w:lsdException w:qFormat="1" w:uiPriority="0" w:name="footnote text"/>
    <w:lsdException w:qFormat="1" w:unhideWhenUsed="0" w:uiPriority="99" w:name="annotation text"/>
    <w:lsdException w:qFormat="1"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qFormat="1" w:uiPriority="0" w:name="footnote reference"/>
    <w:lsdException w:qFormat="1" w:unhideWhenUsed="0" w:uiPriority="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0" w:semiHidden="0"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uiPriority="1" w:name="Default Paragraph Font"/>
    <w:lsdException w:qFormat="1" w:unhideWhenUsed="0" w:uiPriority="0" w:semiHidden="0" w:name="Body Text"/>
    <w:lsdException w:qFormat="1" w:uiPriority="0" w:semiHidden="0"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qFormat="1" w:unhideWhenUsed="0" w:uiPriority="0" w:semiHidden="0" w:name="Body Text 2"/>
    <w:lsdException w:qFormat="1" w:unhideWhenUsed="0" w:uiPriority="0" w:semiHidden="0" w:name="Body Text 3"/>
    <w:lsdException w:qFormat="1" w:unhideWhenUsed="0" w:uiPriority="0" w:semiHidden="0" w:name="Body Text Indent 2"/>
    <w:lsdException w:qFormat="1" w:unhideWhenUsed="0" w:uiPriority="0" w:semiHidden="0" w:name="Body Text Indent 3"/>
    <w:lsdException w:uiPriority="99" w:name="Block Text"/>
    <w:lsdException w:qFormat="1" w:uiPriority="99" w:semiHidden="0" w:name="Hyperlink"/>
    <w:lsdException w:qFormat="1" w:uiPriority="0" w:semiHidden="0"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name="Balloon Text"/>
    <w:lsdException w:qFormat="1" w:unhideWhenUsed="0" w:uiPriority="59" w:semiHidden="0" w:name="Table Grid"/>
    <w:lsdException w:uiPriority="99" w:name="Table Theme"/>
    <w:lsdException w:qFormat="1" w:unhideWhenUsed="0" w:uiPriority="34" w:semiHidden="0" w:name="List Paragraph"/>
  </w:latentStyles>
  <w:style w:type="paragraph" w:default="1" w:styleId="1">
    <w:name w:val="Normal"/>
    <w:qFormat/>
    <w:uiPriority w:val="1"/>
    <w:pPr>
      <w:widowControl w:val="0"/>
      <w:autoSpaceDE w:val="0"/>
      <w:autoSpaceDN w:val="0"/>
    </w:pPr>
    <w:rPr>
      <w:rFonts w:ascii="Times New Roman" w:hAnsi="Times New Roman" w:eastAsia="Times New Roman" w:cs="Times New Roman"/>
      <w:sz w:val="22"/>
      <w:szCs w:val="22"/>
      <w:lang w:val="en-US" w:eastAsia="en-US" w:bidi="ar-SA"/>
    </w:rPr>
  </w:style>
  <w:style w:type="paragraph" w:styleId="2">
    <w:name w:val="heading 1"/>
    <w:basedOn w:val="1"/>
    <w:link w:val="45"/>
    <w:qFormat/>
    <w:uiPriority w:val="9"/>
    <w:pPr>
      <w:spacing w:before="64"/>
      <w:ind w:left="115"/>
      <w:outlineLvl w:val="0"/>
    </w:pPr>
    <w:rPr>
      <w:b/>
      <w:bCs/>
      <w:sz w:val="28"/>
      <w:szCs w:val="28"/>
    </w:rPr>
  </w:style>
  <w:style w:type="paragraph" w:styleId="3">
    <w:name w:val="heading 2"/>
    <w:basedOn w:val="1"/>
    <w:next w:val="1"/>
    <w:link w:val="46"/>
    <w:unhideWhenUsed/>
    <w:qFormat/>
    <w:uiPriority w:val="9"/>
    <w:pPr>
      <w:keepNext/>
      <w:keepLines/>
      <w:autoSpaceDE/>
      <w:autoSpaceDN/>
      <w:spacing w:before="200" w:line="276" w:lineRule="auto"/>
      <w:outlineLvl w:val="1"/>
    </w:pPr>
    <w:rPr>
      <w:rFonts w:asciiTheme="majorHAnsi" w:hAnsiTheme="majorHAnsi" w:eastAsiaTheme="majorEastAsia" w:cstheme="majorBidi"/>
      <w:b/>
      <w:bCs/>
      <w:color w:val="4F81BD" w:themeColor="accent1"/>
      <w:sz w:val="26"/>
      <w:szCs w:val="26"/>
      <w14:textFill>
        <w14:solidFill>
          <w14:schemeClr w14:val="accent1"/>
        </w14:solidFill>
      </w14:textFill>
    </w:rPr>
  </w:style>
  <w:style w:type="paragraph" w:styleId="4">
    <w:name w:val="heading 3"/>
    <w:basedOn w:val="1"/>
    <w:next w:val="1"/>
    <w:link w:val="47"/>
    <w:unhideWhenUsed/>
    <w:qFormat/>
    <w:uiPriority w:val="0"/>
    <w:pPr>
      <w:keepNext/>
      <w:keepLines/>
      <w:autoSpaceDE/>
      <w:autoSpaceDN/>
      <w:spacing w:before="200" w:line="276" w:lineRule="auto"/>
      <w:outlineLvl w:val="2"/>
    </w:pPr>
    <w:rPr>
      <w:rFonts w:asciiTheme="majorHAnsi" w:hAnsiTheme="majorHAnsi" w:eastAsiaTheme="majorEastAsia" w:cstheme="majorBidi"/>
      <w:b/>
      <w:bCs/>
      <w:color w:val="4F81BD" w:themeColor="accent1"/>
      <w14:textFill>
        <w14:solidFill>
          <w14:schemeClr w14:val="accent1"/>
        </w14:solidFill>
      </w14:textFill>
    </w:rPr>
  </w:style>
  <w:style w:type="paragraph" w:styleId="5">
    <w:name w:val="heading 4"/>
    <w:basedOn w:val="1"/>
    <w:next w:val="1"/>
    <w:link w:val="48"/>
    <w:unhideWhenUsed/>
    <w:qFormat/>
    <w:uiPriority w:val="0"/>
    <w:pPr>
      <w:keepNext/>
      <w:keepLines/>
      <w:autoSpaceDE/>
      <w:autoSpaceDN/>
      <w:spacing w:before="200" w:line="276" w:lineRule="auto"/>
      <w:outlineLvl w:val="3"/>
    </w:pPr>
    <w:rPr>
      <w:rFonts w:asciiTheme="majorHAnsi" w:hAnsiTheme="majorHAnsi" w:eastAsiaTheme="majorEastAsia" w:cstheme="majorBidi"/>
      <w:b/>
      <w:bCs/>
      <w:i/>
      <w:iCs/>
      <w:color w:val="4F81BD" w:themeColor="accent1"/>
      <w14:textFill>
        <w14:solidFill>
          <w14:schemeClr w14:val="accent1"/>
        </w14:solidFill>
      </w14:textFill>
    </w:rPr>
  </w:style>
  <w:style w:type="paragraph" w:styleId="6">
    <w:name w:val="heading 5"/>
    <w:basedOn w:val="1"/>
    <w:next w:val="1"/>
    <w:link w:val="82"/>
    <w:qFormat/>
    <w:uiPriority w:val="0"/>
    <w:pPr>
      <w:widowControl/>
      <w:tabs>
        <w:tab w:val="left" w:pos="4140"/>
      </w:tabs>
      <w:suppressAutoHyphens/>
      <w:autoSpaceDE/>
      <w:autoSpaceDN/>
      <w:spacing w:before="240" w:after="60"/>
      <w:ind w:left="4140" w:hanging="360"/>
      <w:outlineLvl w:val="4"/>
    </w:pPr>
    <w:rPr>
      <w:b/>
      <w:bCs/>
      <w:i/>
      <w:iCs/>
      <w:sz w:val="26"/>
      <w:szCs w:val="26"/>
      <w:lang w:val="ru-RU" w:eastAsia="ar-SA"/>
    </w:rPr>
  </w:style>
  <w:style w:type="paragraph" w:styleId="7">
    <w:name w:val="heading 6"/>
    <w:basedOn w:val="1"/>
    <w:next w:val="1"/>
    <w:link w:val="180"/>
    <w:qFormat/>
    <w:uiPriority w:val="0"/>
    <w:pPr>
      <w:widowControl/>
      <w:autoSpaceDE/>
      <w:autoSpaceDN/>
      <w:spacing w:before="240" w:after="60"/>
      <w:outlineLvl w:val="5"/>
    </w:pPr>
    <w:rPr>
      <w:b/>
      <w:bCs/>
      <w:lang w:val="ru-RU" w:eastAsia="ru-RU"/>
    </w:rPr>
  </w:style>
  <w:style w:type="paragraph" w:styleId="8">
    <w:name w:val="heading 8"/>
    <w:basedOn w:val="1"/>
    <w:next w:val="1"/>
    <w:link w:val="83"/>
    <w:qFormat/>
    <w:uiPriority w:val="0"/>
    <w:pPr>
      <w:widowControl/>
      <w:autoSpaceDE/>
      <w:autoSpaceDN/>
      <w:spacing w:before="240" w:after="60"/>
      <w:outlineLvl w:val="7"/>
    </w:pPr>
    <w:rPr>
      <w:i/>
      <w:iCs/>
      <w:sz w:val="24"/>
      <w:szCs w:val="24"/>
      <w:lang w:val="ru-RU" w:eastAsia="ru-RU"/>
    </w:rPr>
  </w:style>
  <w:style w:type="paragraph" w:styleId="9">
    <w:name w:val="heading 9"/>
    <w:basedOn w:val="1"/>
    <w:next w:val="1"/>
    <w:link w:val="84"/>
    <w:qFormat/>
    <w:uiPriority w:val="0"/>
    <w:pPr>
      <w:widowControl/>
      <w:autoSpaceDE/>
      <w:autoSpaceDN/>
      <w:spacing w:before="240" w:after="60"/>
      <w:outlineLvl w:val="8"/>
    </w:pPr>
    <w:rPr>
      <w:rFonts w:ascii="Arial" w:hAnsi="Arial" w:cs="Arial"/>
      <w:lang w:val="ru-RU" w:eastAsia="ru-RU"/>
    </w:rPr>
  </w:style>
  <w:style w:type="character" w:default="1" w:styleId="10">
    <w:name w:val="Default Paragraph Font"/>
    <w:semiHidden/>
    <w:unhideWhenUsed/>
    <w:uiPriority w:val="1"/>
  </w:style>
  <w:style w:type="table" w:default="1" w:styleId="11">
    <w:name w:val="Normal Table"/>
    <w:semiHidden/>
    <w:unhideWhenUsed/>
    <w:uiPriority w:val="99"/>
    <w:tblPr>
      <w:tblCellMar>
        <w:top w:w="0" w:type="dxa"/>
        <w:left w:w="108" w:type="dxa"/>
        <w:bottom w:w="0" w:type="dxa"/>
        <w:right w:w="108" w:type="dxa"/>
      </w:tblCellMar>
    </w:tblPr>
  </w:style>
  <w:style w:type="character" w:styleId="12">
    <w:name w:val="FollowedHyperlink"/>
    <w:basedOn w:val="10"/>
    <w:unhideWhenUsed/>
    <w:qFormat/>
    <w:uiPriority w:val="0"/>
    <w:rPr>
      <w:color w:val="800080"/>
      <w:u w:val="single"/>
    </w:rPr>
  </w:style>
  <w:style w:type="character" w:styleId="13">
    <w:name w:val="footnote reference"/>
    <w:semiHidden/>
    <w:unhideWhenUsed/>
    <w:qFormat/>
    <w:uiPriority w:val="0"/>
    <w:rPr>
      <w:vertAlign w:val="superscript"/>
    </w:rPr>
  </w:style>
  <w:style w:type="character" w:styleId="14">
    <w:name w:val="annotation reference"/>
    <w:basedOn w:val="10"/>
    <w:semiHidden/>
    <w:qFormat/>
    <w:uiPriority w:val="0"/>
    <w:rPr>
      <w:sz w:val="16"/>
      <w:szCs w:val="16"/>
    </w:rPr>
  </w:style>
  <w:style w:type="character" w:styleId="15">
    <w:name w:val="Hyperlink"/>
    <w:basedOn w:val="10"/>
    <w:unhideWhenUsed/>
    <w:qFormat/>
    <w:uiPriority w:val="99"/>
    <w:rPr>
      <w:color w:val="0000FF" w:themeColor="hyperlink"/>
      <w:u w:val="single"/>
      <w14:textFill>
        <w14:solidFill>
          <w14:schemeClr w14:val="hlink"/>
        </w14:solidFill>
      </w14:textFill>
    </w:rPr>
  </w:style>
  <w:style w:type="character" w:styleId="16">
    <w:name w:val="page number"/>
    <w:basedOn w:val="10"/>
    <w:qFormat/>
    <w:uiPriority w:val="0"/>
  </w:style>
  <w:style w:type="character" w:styleId="17">
    <w:name w:val="Strong"/>
    <w:basedOn w:val="10"/>
    <w:qFormat/>
    <w:uiPriority w:val="22"/>
    <w:rPr>
      <w:b/>
      <w:bCs/>
    </w:rPr>
  </w:style>
  <w:style w:type="paragraph" w:styleId="18">
    <w:name w:val="Balloon Text"/>
    <w:basedOn w:val="1"/>
    <w:link w:val="52"/>
    <w:semiHidden/>
    <w:unhideWhenUsed/>
    <w:qFormat/>
    <w:uiPriority w:val="0"/>
    <w:rPr>
      <w:rFonts w:ascii="Tahoma" w:hAnsi="Tahoma" w:cs="Tahoma"/>
      <w:sz w:val="16"/>
      <w:szCs w:val="16"/>
    </w:rPr>
  </w:style>
  <w:style w:type="paragraph" w:styleId="19">
    <w:name w:val="Body Text 2"/>
    <w:basedOn w:val="1"/>
    <w:link w:val="85"/>
    <w:qFormat/>
    <w:uiPriority w:val="0"/>
    <w:pPr>
      <w:widowControl/>
      <w:autoSpaceDE/>
      <w:autoSpaceDN/>
      <w:jc w:val="both"/>
    </w:pPr>
    <w:rPr>
      <w:rFonts w:ascii="Arial" w:hAnsi="Arial"/>
      <w:b/>
      <w:szCs w:val="20"/>
      <w:lang w:val="ru-RU"/>
    </w:rPr>
  </w:style>
  <w:style w:type="paragraph" w:styleId="20">
    <w:name w:val="Body Text Indent 3"/>
    <w:basedOn w:val="1"/>
    <w:link w:val="161"/>
    <w:qFormat/>
    <w:uiPriority w:val="0"/>
    <w:pPr>
      <w:widowControl/>
      <w:autoSpaceDE/>
      <w:autoSpaceDN/>
      <w:spacing w:after="120"/>
      <w:ind w:left="283"/>
    </w:pPr>
    <w:rPr>
      <w:sz w:val="16"/>
      <w:szCs w:val="16"/>
      <w:lang w:val="ru-RU" w:eastAsia="ru-RU"/>
    </w:rPr>
  </w:style>
  <w:style w:type="paragraph" w:styleId="21">
    <w:name w:val="caption"/>
    <w:basedOn w:val="1"/>
    <w:next w:val="1"/>
    <w:link w:val="188"/>
    <w:unhideWhenUsed/>
    <w:qFormat/>
    <w:uiPriority w:val="35"/>
    <w:pPr>
      <w:widowControl/>
      <w:autoSpaceDE/>
      <w:autoSpaceDN/>
      <w:spacing w:after="200"/>
      <w:jc w:val="both"/>
    </w:pPr>
    <w:rPr>
      <w:rFonts w:eastAsiaTheme="minorHAnsi" w:cstheme="minorBidi"/>
      <w:b/>
      <w:i/>
      <w:iCs/>
      <w:sz w:val="24"/>
      <w:szCs w:val="18"/>
      <w:lang w:val="ru-RU"/>
    </w:rPr>
  </w:style>
  <w:style w:type="paragraph" w:styleId="22">
    <w:name w:val="annotation text"/>
    <w:basedOn w:val="1"/>
    <w:link w:val="157"/>
    <w:semiHidden/>
    <w:qFormat/>
    <w:uiPriority w:val="99"/>
    <w:pPr>
      <w:widowControl/>
      <w:suppressAutoHyphens/>
      <w:autoSpaceDE/>
      <w:autoSpaceDN/>
    </w:pPr>
    <w:rPr>
      <w:sz w:val="20"/>
      <w:szCs w:val="20"/>
      <w:lang w:val="ru-RU" w:eastAsia="ar-SA"/>
    </w:rPr>
  </w:style>
  <w:style w:type="paragraph" w:styleId="23">
    <w:name w:val="annotation subject"/>
    <w:basedOn w:val="22"/>
    <w:next w:val="22"/>
    <w:link w:val="158"/>
    <w:semiHidden/>
    <w:qFormat/>
    <w:uiPriority w:val="0"/>
    <w:rPr>
      <w:b/>
      <w:bCs/>
    </w:rPr>
  </w:style>
  <w:style w:type="paragraph" w:styleId="24">
    <w:name w:val="Document Map"/>
    <w:basedOn w:val="1"/>
    <w:link w:val="101"/>
    <w:semiHidden/>
    <w:qFormat/>
    <w:uiPriority w:val="0"/>
    <w:pPr>
      <w:widowControl/>
      <w:shd w:val="clear" w:color="auto" w:fill="000080"/>
      <w:suppressAutoHyphens/>
      <w:autoSpaceDE/>
      <w:autoSpaceDN/>
    </w:pPr>
    <w:rPr>
      <w:rFonts w:ascii="Tahoma" w:hAnsi="Tahoma" w:cs="Tahoma"/>
      <w:sz w:val="20"/>
      <w:szCs w:val="20"/>
      <w:lang w:val="ru-RU" w:eastAsia="ar-SA"/>
    </w:rPr>
  </w:style>
  <w:style w:type="paragraph" w:styleId="25">
    <w:name w:val="footnote text"/>
    <w:basedOn w:val="1"/>
    <w:link w:val="74"/>
    <w:semiHidden/>
    <w:unhideWhenUsed/>
    <w:qFormat/>
    <w:uiPriority w:val="0"/>
    <w:pPr>
      <w:autoSpaceDE/>
      <w:autoSpaceDN/>
    </w:pPr>
    <w:rPr>
      <w:rFonts w:asciiTheme="minorHAnsi" w:hAnsiTheme="minorHAnsi" w:eastAsiaTheme="minorHAnsi" w:cstheme="minorBidi"/>
    </w:rPr>
  </w:style>
  <w:style w:type="paragraph" w:styleId="26">
    <w:name w:val="toc 8"/>
    <w:basedOn w:val="1"/>
    <w:next w:val="1"/>
    <w:autoRedefine/>
    <w:unhideWhenUsed/>
    <w:uiPriority w:val="39"/>
    <w:pPr>
      <w:widowControl/>
      <w:autoSpaceDE/>
      <w:autoSpaceDN/>
      <w:spacing w:after="100" w:line="259" w:lineRule="auto"/>
      <w:ind w:left="1540"/>
    </w:pPr>
    <w:rPr>
      <w:rFonts w:asciiTheme="minorHAnsi" w:hAnsiTheme="minorHAnsi" w:eastAsiaTheme="minorEastAsia" w:cstheme="minorBidi"/>
      <w:lang w:val="ru-RU" w:eastAsia="ru-RU"/>
    </w:rPr>
  </w:style>
  <w:style w:type="paragraph" w:styleId="27">
    <w:name w:val="header"/>
    <w:basedOn w:val="1"/>
    <w:link w:val="55"/>
    <w:unhideWhenUsed/>
    <w:qFormat/>
    <w:uiPriority w:val="0"/>
    <w:pPr>
      <w:tabs>
        <w:tab w:val="center" w:pos="4677"/>
        <w:tab w:val="right" w:pos="9355"/>
      </w:tabs>
      <w:autoSpaceDE/>
      <w:autoSpaceDN/>
    </w:pPr>
    <w:rPr>
      <w:rFonts w:asciiTheme="minorHAnsi" w:hAnsiTheme="minorHAnsi" w:eastAsiaTheme="minorHAnsi" w:cstheme="minorBidi"/>
    </w:rPr>
  </w:style>
  <w:style w:type="paragraph" w:styleId="28">
    <w:name w:val="toc 9"/>
    <w:basedOn w:val="1"/>
    <w:next w:val="1"/>
    <w:autoRedefine/>
    <w:unhideWhenUsed/>
    <w:uiPriority w:val="39"/>
    <w:pPr>
      <w:widowControl/>
      <w:autoSpaceDE/>
      <w:autoSpaceDN/>
      <w:spacing w:after="100" w:line="259" w:lineRule="auto"/>
      <w:ind w:left="1760"/>
    </w:pPr>
    <w:rPr>
      <w:rFonts w:asciiTheme="minorHAnsi" w:hAnsiTheme="minorHAnsi" w:eastAsiaTheme="minorEastAsia" w:cstheme="minorBidi"/>
      <w:lang w:val="ru-RU" w:eastAsia="ru-RU"/>
    </w:rPr>
  </w:style>
  <w:style w:type="paragraph" w:styleId="29">
    <w:name w:val="toc 7"/>
    <w:basedOn w:val="1"/>
    <w:next w:val="1"/>
    <w:autoRedefine/>
    <w:unhideWhenUsed/>
    <w:uiPriority w:val="39"/>
    <w:pPr>
      <w:widowControl/>
      <w:autoSpaceDE/>
      <w:autoSpaceDN/>
      <w:spacing w:after="100" w:line="259" w:lineRule="auto"/>
      <w:ind w:left="1320"/>
    </w:pPr>
    <w:rPr>
      <w:rFonts w:asciiTheme="minorHAnsi" w:hAnsiTheme="minorHAnsi" w:eastAsiaTheme="minorEastAsia" w:cstheme="minorBidi"/>
      <w:lang w:val="ru-RU" w:eastAsia="ru-RU"/>
    </w:rPr>
  </w:style>
  <w:style w:type="paragraph" w:styleId="30">
    <w:name w:val="Body Text"/>
    <w:basedOn w:val="1"/>
    <w:link w:val="77"/>
    <w:qFormat/>
    <w:uiPriority w:val="0"/>
    <w:rPr>
      <w:sz w:val="28"/>
      <w:szCs w:val="28"/>
    </w:rPr>
  </w:style>
  <w:style w:type="paragraph" w:styleId="31">
    <w:name w:val="toc 1"/>
    <w:basedOn w:val="1"/>
    <w:qFormat/>
    <w:uiPriority w:val="39"/>
    <w:pPr>
      <w:ind w:left="111" w:right="118"/>
    </w:pPr>
    <w:rPr>
      <w:sz w:val="28"/>
      <w:szCs w:val="28"/>
    </w:rPr>
  </w:style>
  <w:style w:type="paragraph" w:styleId="32">
    <w:name w:val="toc 6"/>
    <w:basedOn w:val="1"/>
    <w:next w:val="1"/>
    <w:autoRedefine/>
    <w:unhideWhenUsed/>
    <w:uiPriority w:val="39"/>
    <w:pPr>
      <w:widowControl/>
      <w:autoSpaceDE/>
      <w:autoSpaceDN/>
      <w:spacing w:after="100" w:line="259" w:lineRule="auto"/>
      <w:ind w:left="1100"/>
    </w:pPr>
    <w:rPr>
      <w:rFonts w:asciiTheme="minorHAnsi" w:hAnsiTheme="minorHAnsi" w:eastAsiaTheme="minorEastAsia" w:cstheme="minorBidi"/>
      <w:lang w:val="ru-RU" w:eastAsia="ru-RU"/>
    </w:rPr>
  </w:style>
  <w:style w:type="paragraph" w:styleId="33">
    <w:name w:val="toc 3"/>
    <w:basedOn w:val="1"/>
    <w:next w:val="1"/>
    <w:autoRedefine/>
    <w:unhideWhenUsed/>
    <w:qFormat/>
    <w:uiPriority w:val="0"/>
    <w:pPr>
      <w:widowControl/>
      <w:tabs>
        <w:tab w:val="left" w:pos="1760"/>
        <w:tab w:val="right" w:leader="dot" w:pos="10082"/>
      </w:tabs>
      <w:autoSpaceDE/>
      <w:autoSpaceDN/>
      <w:spacing w:after="100"/>
      <w:ind w:left="480"/>
      <w:jc w:val="both"/>
    </w:pPr>
    <w:rPr>
      <w:rFonts w:eastAsia="Calibri"/>
      <w:sz w:val="24"/>
      <w:szCs w:val="24"/>
      <w:lang w:val="ru-RU" w:eastAsia="ru-RU"/>
    </w:rPr>
  </w:style>
  <w:style w:type="paragraph" w:styleId="34">
    <w:name w:val="toc 2"/>
    <w:basedOn w:val="1"/>
    <w:next w:val="1"/>
    <w:autoRedefine/>
    <w:unhideWhenUsed/>
    <w:qFormat/>
    <w:uiPriority w:val="0"/>
    <w:pPr>
      <w:widowControl/>
      <w:autoSpaceDE/>
      <w:autoSpaceDN/>
      <w:spacing w:after="100"/>
      <w:ind w:left="240"/>
    </w:pPr>
    <w:rPr>
      <w:rFonts w:eastAsia="Calibri"/>
      <w:sz w:val="24"/>
      <w:szCs w:val="24"/>
      <w:lang w:val="ru-RU" w:eastAsia="ru-RU"/>
    </w:rPr>
  </w:style>
  <w:style w:type="paragraph" w:styleId="35">
    <w:name w:val="toc 4"/>
    <w:basedOn w:val="1"/>
    <w:autoRedefine/>
    <w:qFormat/>
    <w:uiPriority w:val="0"/>
    <w:pPr>
      <w:widowControl/>
      <w:tabs>
        <w:tab w:val="right" w:leader="dot" w:pos="8640"/>
      </w:tabs>
      <w:overflowPunct w:val="0"/>
      <w:adjustRightInd w:val="0"/>
      <w:spacing w:before="60" w:after="60" w:line="480" w:lineRule="exact"/>
      <w:ind w:right="1440" w:firstLine="720"/>
      <w:jc w:val="both"/>
      <w:textAlignment w:val="baseline"/>
    </w:pPr>
    <w:rPr>
      <w:b/>
      <w:bCs/>
      <w:i/>
      <w:iCs/>
      <w:kern w:val="28"/>
      <w:sz w:val="28"/>
      <w:szCs w:val="28"/>
      <w:lang w:val="ru-RU" w:eastAsia="ru-RU"/>
    </w:rPr>
  </w:style>
  <w:style w:type="paragraph" w:styleId="36">
    <w:name w:val="toc 5"/>
    <w:basedOn w:val="1"/>
    <w:next w:val="1"/>
    <w:autoRedefine/>
    <w:unhideWhenUsed/>
    <w:uiPriority w:val="39"/>
    <w:pPr>
      <w:widowControl/>
      <w:autoSpaceDE/>
      <w:autoSpaceDN/>
      <w:spacing w:after="100" w:line="259" w:lineRule="auto"/>
      <w:ind w:left="880"/>
    </w:pPr>
    <w:rPr>
      <w:rFonts w:asciiTheme="minorHAnsi" w:hAnsiTheme="minorHAnsi" w:eastAsiaTheme="minorEastAsia" w:cstheme="minorBidi"/>
      <w:lang w:val="ru-RU" w:eastAsia="ru-RU"/>
    </w:rPr>
  </w:style>
  <w:style w:type="paragraph" w:styleId="37">
    <w:name w:val="Body Text Indent"/>
    <w:basedOn w:val="1"/>
    <w:link w:val="78"/>
    <w:unhideWhenUsed/>
    <w:qFormat/>
    <w:uiPriority w:val="0"/>
    <w:pPr>
      <w:spacing w:after="120"/>
      <w:ind w:left="283"/>
    </w:pPr>
  </w:style>
  <w:style w:type="paragraph" w:styleId="38">
    <w:name w:val="Title"/>
    <w:basedOn w:val="1"/>
    <w:next w:val="1"/>
    <w:link w:val="57"/>
    <w:qFormat/>
    <w:uiPriority w:val="0"/>
    <w:pPr>
      <w:widowControl/>
      <w:pBdr>
        <w:bottom w:val="single" w:color="4F81BD" w:sz="8" w:space="4"/>
      </w:pBdr>
      <w:autoSpaceDE/>
      <w:autoSpaceDN/>
      <w:spacing w:after="300"/>
      <w:contextualSpacing/>
    </w:pPr>
    <w:rPr>
      <w:rFonts w:ascii="Cambria" w:hAnsi="Cambria"/>
      <w:color w:val="17365D"/>
      <w:spacing w:val="5"/>
      <w:kern w:val="28"/>
      <w:sz w:val="52"/>
      <w:szCs w:val="52"/>
      <w:lang w:val="ru-RU" w:eastAsia="ru-RU"/>
    </w:rPr>
  </w:style>
  <w:style w:type="paragraph" w:styleId="39">
    <w:name w:val="footer"/>
    <w:basedOn w:val="1"/>
    <w:link w:val="56"/>
    <w:unhideWhenUsed/>
    <w:qFormat/>
    <w:uiPriority w:val="0"/>
    <w:pPr>
      <w:tabs>
        <w:tab w:val="center" w:pos="4677"/>
        <w:tab w:val="right" w:pos="9355"/>
      </w:tabs>
      <w:autoSpaceDE/>
      <w:autoSpaceDN/>
    </w:pPr>
    <w:rPr>
      <w:rFonts w:asciiTheme="minorHAnsi" w:hAnsiTheme="minorHAnsi" w:eastAsiaTheme="minorHAnsi" w:cstheme="minorBidi"/>
    </w:rPr>
  </w:style>
  <w:style w:type="paragraph" w:styleId="40">
    <w:name w:val="List"/>
    <w:basedOn w:val="30"/>
    <w:qFormat/>
    <w:uiPriority w:val="0"/>
    <w:pPr>
      <w:widowControl/>
      <w:suppressAutoHyphens/>
      <w:autoSpaceDE/>
      <w:autoSpaceDN/>
      <w:spacing w:after="120"/>
    </w:pPr>
    <w:rPr>
      <w:rFonts w:ascii="Arial" w:hAnsi="Arial" w:cs="Tahoma"/>
      <w:sz w:val="24"/>
      <w:szCs w:val="24"/>
      <w:lang w:val="ru-RU" w:eastAsia="ar-SA"/>
    </w:rPr>
  </w:style>
  <w:style w:type="paragraph" w:styleId="41">
    <w:name w:val="Normal (Web)"/>
    <w:basedOn w:val="1"/>
    <w:unhideWhenUsed/>
    <w:qFormat/>
    <w:uiPriority w:val="99"/>
    <w:pPr>
      <w:widowControl/>
      <w:autoSpaceDE/>
      <w:autoSpaceDN/>
      <w:spacing w:before="100" w:beforeAutospacing="1" w:after="100" w:afterAutospacing="1"/>
    </w:pPr>
    <w:rPr>
      <w:sz w:val="24"/>
      <w:szCs w:val="24"/>
      <w:lang w:val="ru-RU" w:eastAsia="ru-RU"/>
    </w:rPr>
  </w:style>
  <w:style w:type="paragraph" w:styleId="42">
    <w:name w:val="Body Text 3"/>
    <w:basedOn w:val="1"/>
    <w:link w:val="86"/>
    <w:qFormat/>
    <w:uiPriority w:val="0"/>
    <w:pPr>
      <w:widowControl/>
      <w:autoSpaceDE/>
      <w:autoSpaceDN/>
      <w:jc w:val="center"/>
    </w:pPr>
    <w:rPr>
      <w:rFonts w:ascii="Arial" w:hAnsi="Arial"/>
      <w:b/>
      <w:sz w:val="24"/>
      <w:szCs w:val="20"/>
      <w:lang w:val="ru-RU"/>
    </w:rPr>
  </w:style>
  <w:style w:type="paragraph" w:styleId="43">
    <w:name w:val="Body Text Indent 2"/>
    <w:basedOn w:val="1"/>
    <w:link w:val="62"/>
    <w:qFormat/>
    <w:uiPriority w:val="0"/>
    <w:pPr>
      <w:widowControl/>
      <w:autoSpaceDE/>
      <w:autoSpaceDN/>
      <w:spacing w:after="120" w:line="480" w:lineRule="auto"/>
      <w:ind w:left="283"/>
    </w:pPr>
    <w:rPr>
      <w:sz w:val="24"/>
      <w:szCs w:val="24"/>
      <w:lang w:val="ru-RU" w:eastAsia="ru-RU"/>
    </w:rPr>
  </w:style>
  <w:style w:type="table" w:styleId="44">
    <w:name w:val="Table Grid"/>
    <w:basedOn w:val="11"/>
    <w:qFormat/>
    <w:uiPriority w:val="59"/>
    <w:pPr>
      <w:widowControl/>
      <w:autoSpaceDE/>
      <w:autoSpaceDN/>
    </w:pPr>
    <w:rPr>
      <w:rFonts w:ascii="Times New Roman" w:hAnsi="Times New Roman" w:eastAsia="Times New Roman" w:cs="Times New Roman"/>
      <w:sz w:val="20"/>
      <w:szCs w:val="20"/>
      <w:lang w:val="ru-RU" w:eastAsia="ru-RU"/>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customStyle="1" w:styleId="45">
    <w:name w:val="Заголовок 1 Знак"/>
    <w:basedOn w:val="10"/>
    <w:link w:val="2"/>
    <w:qFormat/>
    <w:uiPriority w:val="9"/>
    <w:rPr>
      <w:rFonts w:ascii="Times New Roman" w:hAnsi="Times New Roman" w:eastAsia="Times New Roman" w:cs="Times New Roman"/>
      <w:b/>
      <w:bCs/>
      <w:sz w:val="28"/>
      <w:szCs w:val="28"/>
    </w:rPr>
  </w:style>
  <w:style w:type="character" w:customStyle="1" w:styleId="46">
    <w:name w:val="Заголовок 2 Знак"/>
    <w:basedOn w:val="10"/>
    <w:link w:val="3"/>
    <w:qFormat/>
    <w:uiPriority w:val="9"/>
    <w:rPr>
      <w:rFonts w:asciiTheme="majorHAnsi" w:hAnsiTheme="majorHAnsi" w:eastAsiaTheme="majorEastAsia" w:cstheme="majorBidi"/>
      <w:b/>
      <w:bCs/>
      <w:color w:val="4F81BD" w:themeColor="accent1"/>
      <w:sz w:val="26"/>
      <w:szCs w:val="26"/>
      <w14:textFill>
        <w14:solidFill>
          <w14:schemeClr w14:val="accent1"/>
        </w14:solidFill>
      </w14:textFill>
    </w:rPr>
  </w:style>
  <w:style w:type="character" w:customStyle="1" w:styleId="47">
    <w:name w:val="Заголовок 3 Знак"/>
    <w:basedOn w:val="10"/>
    <w:link w:val="4"/>
    <w:qFormat/>
    <w:uiPriority w:val="0"/>
    <w:rPr>
      <w:rFonts w:asciiTheme="majorHAnsi" w:hAnsiTheme="majorHAnsi" w:eastAsiaTheme="majorEastAsia" w:cstheme="majorBidi"/>
      <w:b/>
      <w:bCs/>
      <w:color w:val="4F81BD" w:themeColor="accent1"/>
      <w14:textFill>
        <w14:solidFill>
          <w14:schemeClr w14:val="accent1"/>
        </w14:solidFill>
      </w14:textFill>
    </w:rPr>
  </w:style>
  <w:style w:type="character" w:customStyle="1" w:styleId="48">
    <w:name w:val="Заголовок 4 Знак"/>
    <w:basedOn w:val="10"/>
    <w:link w:val="5"/>
    <w:qFormat/>
    <w:uiPriority w:val="9"/>
    <w:rPr>
      <w:rFonts w:asciiTheme="majorHAnsi" w:hAnsiTheme="majorHAnsi" w:eastAsiaTheme="majorEastAsia" w:cstheme="majorBidi"/>
      <w:b/>
      <w:bCs/>
      <w:i/>
      <w:iCs/>
      <w:color w:val="4F81BD" w:themeColor="accent1"/>
      <w14:textFill>
        <w14:solidFill>
          <w14:schemeClr w14:val="accent1"/>
        </w14:solidFill>
      </w14:textFill>
    </w:rPr>
  </w:style>
  <w:style w:type="table" w:customStyle="1" w:styleId="49">
    <w:name w:val="Table Normal"/>
    <w:semiHidden/>
    <w:unhideWhenUsed/>
    <w:qFormat/>
    <w:uiPriority w:val="2"/>
    <w:tblPr>
      <w:tblCellMar>
        <w:top w:w="0" w:type="dxa"/>
        <w:left w:w="0" w:type="dxa"/>
        <w:bottom w:w="0" w:type="dxa"/>
        <w:right w:w="0" w:type="dxa"/>
      </w:tblCellMar>
    </w:tblPr>
  </w:style>
  <w:style w:type="paragraph" w:styleId="50">
    <w:name w:val="List Paragraph"/>
    <w:basedOn w:val="1"/>
    <w:link w:val="160"/>
    <w:qFormat/>
    <w:uiPriority w:val="34"/>
    <w:pPr>
      <w:ind w:left="116" w:firstLine="720"/>
    </w:pPr>
  </w:style>
  <w:style w:type="paragraph" w:customStyle="1" w:styleId="51">
    <w:name w:val="Table Paragraph"/>
    <w:basedOn w:val="1"/>
    <w:qFormat/>
    <w:uiPriority w:val="1"/>
  </w:style>
  <w:style w:type="character" w:customStyle="1" w:styleId="52">
    <w:name w:val="Текст выноски Знак"/>
    <w:basedOn w:val="10"/>
    <w:link w:val="18"/>
    <w:semiHidden/>
    <w:qFormat/>
    <w:uiPriority w:val="99"/>
    <w:rPr>
      <w:rFonts w:ascii="Tahoma" w:hAnsi="Tahoma" w:eastAsia="Times New Roman" w:cs="Tahoma"/>
      <w:sz w:val="16"/>
      <w:szCs w:val="16"/>
    </w:rPr>
  </w:style>
  <w:style w:type="paragraph" w:customStyle="1" w:styleId="53">
    <w:name w:val="Абзац"/>
    <w:link w:val="54"/>
    <w:qFormat/>
    <w:uiPriority w:val="0"/>
    <w:pPr>
      <w:widowControl/>
      <w:autoSpaceDE/>
      <w:autoSpaceDN/>
      <w:spacing w:line="276" w:lineRule="auto"/>
      <w:ind w:firstLine="567"/>
      <w:jc w:val="both"/>
    </w:pPr>
    <w:rPr>
      <w:rFonts w:ascii="Times New Roman" w:hAnsi="Times New Roman" w:eastAsia="Times New Roman" w:cs="Times New Roman"/>
      <w:sz w:val="28"/>
      <w:szCs w:val="28"/>
      <w:lang w:val="ru-RU" w:eastAsia="ru-RU" w:bidi="ar-SA"/>
    </w:rPr>
  </w:style>
  <w:style w:type="character" w:customStyle="1" w:styleId="54">
    <w:name w:val="Абзац Знак"/>
    <w:link w:val="53"/>
    <w:qFormat/>
    <w:locked/>
    <w:uiPriority w:val="0"/>
    <w:rPr>
      <w:rFonts w:ascii="Times New Roman" w:hAnsi="Times New Roman" w:eastAsia="Times New Roman" w:cs="Times New Roman"/>
      <w:sz w:val="28"/>
      <w:szCs w:val="28"/>
      <w:lang w:val="ru-RU" w:eastAsia="ru-RU"/>
    </w:rPr>
  </w:style>
  <w:style w:type="character" w:customStyle="1" w:styleId="55">
    <w:name w:val="Верхний колонтитул Знак"/>
    <w:basedOn w:val="10"/>
    <w:link w:val="27"/>
    <w:qFormat/>
    <w:uiPriority w:val="99"/>
  </w:style>
  <w:style w:type="character" w:customStyle="1" w:styleId="56">
    <w:name w:val="Нижний колонтитул Знак"/>
    <w:basedOn w:val="10"/>
    <w:link w:val="39"/>
    <w:qFormat/>
    <w:uiPriority w:val="99"/>
  </w:style>
  <w:style w:type="character" w:customStyle="1" w:styleId="57">
    <w:name w:val="Заголовок Знак"/>
    <w:basedOn w:val="10"/>
    <w:link w:val="38"/>
    <w:qFormat/>
    <w:uiPriority w:val="10"/>
    <w:rPr>
      <w:rFonts w:ascii="Cambria" w:hAnsi="Cambria" w:eastAsia="Times New Roman" w:cs="Times New Roman"/>
      <w:color w:val="17365D"/>
      <w:spacing w:val="5"/>
      <w:kern w:val="28"/>
      <w:sz w:val="52"/>
      <w:szCs w:val="52"/>
      <w:lang w:val="ru-RU" w:eastAsia="ru-RU"/>
    </w:rPr>
  </w:style>
  <w:style w:type="character" w:customStyle="1" w:styleId="58">
    <w:name w:val="blk"/>
    <w:basedOn w:val="10"/>
    <w:qFormat/>
    <w:uiPriority w:val="0"/>
  </w:style>
  <w:style w:type="character" w:customStyle="1" w:styleId="59">
    <w:name w:val="Подпись к таблице_"/>
    <w:link w:val="60"/>
    <w:qFormat/>
    <w:uiPriority w:val="0"/>
    <w:rPr>
      <w:b/>
      <w:bCs/>
      <w:sz w:val="26"/>
      <w:szCs w:val="26"/>
      <w:shd w:val="clear" w:color="auto" w:fill="FFFFFF"/>
    </w:rPr>
  </w:style>
  <w:style w:type="paragraph" w:customStyle="1" w:styleId="60">
    <w:name w:val="Подпись к таблице"/>
    <w:basedOn w:val="1"/>
    <w:link w:val="59"/>
    <w:qFormat/>
    <w:uiPriority w:val="0"/>
    <w:pPr>
      <w:shd w:val="clear" w:color="auto" w:fill="FFFFFF"/>
      <w:autoSpaceDE/>
      <w:autoSpaceDN/>
      <w:spacing w:line="0" w:lineRule="atLeast"/>
    </w:pPr>
    <w:rPr>
      <w:rFonts w:asciiTheme="minorHAnsi" w:hAnsiTheme="minorHAnsi" w:eastAsiaTheme="minorHAnsi" w:cstheme="minorBidi"/>
      <w:b/>
      <w:bCs/>
      <w:sz w:val="26"/>
      <w:szCs w:val="26"/>
    </w:rPr>
  </w:style>
  <w:style w:type="paragraph" w:customStyle="1" w:styleId="61">
    <w:name w:val="Default"/>
    <w:qFormat/>
    <w:uiPriority w:val="0"/>
    <w:pPr>
      <w:widowControl/>
      <w:autoSpaceDE w:val="0"/>
      <w:autoSpaceDN w:val="0"/>
      <w:adjustRightInd w:val="0"/>
    </w:pPr>
    <w:rPr>
      <w:rFonts w:ascii="Times New Roman" w:hAnsi="Times New Roman" w:cs="Times New Roman" w:eastAsiaTheme="minorHAnsi"/>
      <w:color w:val="000000"/>
      <w:sz w:val="24"/>
      <w:szCs w:val="24"/>
      <w:lang w:val="ru-RU" w:eastAsia="en-US" w:bidi="ar-SA"/>
    </w:rPr>
  </w:style>
  <w:style w:type="character" w:customStyle="1" w:styleId="62">
    <w:name w:val="Основной текст с отступом 2 Знак"/>
    <w:basedOn w:val="10"/>
    <w:link w:val="43"/>
    <w:qFormat/>
    <w:uiPriority w:val="0"/>
    <w:rPr>
      <w:rFonts w:ascii="Times New Roman" w:hAnsi="Times New Roman" w:eastAsia="Times New Roman" w:cs="Times New Roman"/>
      <w:sz w:val="24"/>
      <w:szCs w:val="24"/>
      <w:lang w:val="ru-RU" w:eastAsia="ru-RU"/>
    </w:rPr>
  </w:style>
  <w:style w:type="paragraph" w:customStyle="1" w:styleId="63">
    <w:name w:val="ConsPlusTitle"/>
    <w:qFormat/>
    <w:uiPriority w:val="0"/>
    <w:pPr>
      <w:widowControl w:val="0"/>
      <w:autoSpaceDE w:val="0"/>
      <w:autoSpaceDN w:val="0"/>
    </w:pPr>
    <w:rPr>
      <w:rFonts w:ascii="Times New Roman" w:hAnsi="Times New Roman" w:eastAsia="Times New Roman" w:cs="Times New Roman"/>
      <w:b/>
      <w:sz w:val="24"/>
      <w:szCs w:val="20"/>
      <w:lang w:val="ru-RU" w:eastAsia="ru-RU" w:bidi="ar-SA"/>
    </w:rPr>
  </w:style>
  <w:style w:type="character" w:customStyle="1" w:styleId="64">
    <w:name w:val="mw-headline"/>
    <w:basedOn w:val="10"/>
    <w:qFormat/>
    <w:uiPriority w:val="0"/>
  </w:style>
  <w:style w:type="character" w:customStyle="1" w:styleId="65">
    <w:name w:val="mw-editsection"/>
    <w:basedOn w:val="10"/>
    <w:qFormat/>
    <w:uiPriority w:val="0"/>
  </w:style>
  <w:style w:type="character" w:customStyle="1" w:styleId="66">
    <w:name w:val="mw-editsection-bracket"/>
    <w:basedOn w:val="10"/>
    <w:qFormat/>
    <w:uiPriority w:val="0"/>
  </w:style>
  <w:style w:type="character" w:customStyle="1" w:styleId="67">
    <w:name w:val="mw-editsection-divider"/>
    <w:basedOn w:val="10"/>
    <w:qFormat/>
    <w:uiPriority w:val="0"/>
  </w:style>
  <w:style w:type="character" w:customStyle="1" w:styleId="68">
    <w:name w:val="nowrap"/>
    <w:basedOn w:val="10"/>
    <w:qFormat/>
    <w:uiPriority w:val="0"/>
  </w:style>
  <w:style w:type="paragraph" w:customStyle="1" w:styleId="69">
    <w:name w:val="ConsNormal"/>
    <w:qFormat/>
    <w:uiPriority w:val="0"/>
    <w:pPr>
      <w:widowControl w:val="0"/>
      <w:autoSpaceDE w:val="0"/>
      <w:autoSpaceDN w:val="0"/>
      <w:adjustRightInd w:val="0"/>
      <w:ind w:right="19772" w:firstLine="720"/>
    </w:pPr>
    <w:rPr>
      <w:rFonts w:ascii="Arial" w:hAnsi="Arial" w:eastAsia="Times New Roman" w:cs="Arial"/>
      <w:sz w:val="20"/>
      <w:szCs w:val="20"/>
      <w:lang w:val="ru-RU" w:eastAsia="ru-RU" w:bidi="ar-SA"/>
    </w:rPr>
  </w:style>
  <w:style w:type="paragraph" w:customStyle="1" w:styleId="70">
    <w:name w:val="Основной текст с отступом 21"/>
    <w:basedOn w:val="1"/>
    <w:qFormat/>
    <w:uiPriority w:val="0"/>
    <w:pPr>
      <w:widowControl/>
      <w:suppressAutoHyphens/>
      <w:autoSpaceDE/>
      <w:autoSpaceDN/>
      <w:spacing w:after="120" w:line="480" w:lineRule="auto"/>
      <w:ind w:left="283"/>
    </w:pPr>
    <w:rPr>
      <w:sz w:val="24"/>
      <w:szCs w:val="24"/>
      <w:lang w:val="ru-RU" w:eastAsia="ar-SA"/>
    </w:rPr>
  </w:style>
  <w:style w:type="paragraph" w:customStyle="1" w:styleId="71">
    <w:name w:val="Абзац списка1"/>
    <w:basedOn w:val="1"/>
    <w:qFormat/>
    <w:uiPriority w:val="0"/>
    <w:pPr>
      <w:suppressAutoHyphens/>
      <w:autoSpaceDE/>
      <w:autoSpaceDN/>
      <w:ind w:left="720"/>
    </w:pPr>
    <w:rPr>
      <w:sz w:val="20"/>
      <w:szCs w:val="20"/>
      <w:lang w:val="ru-RU" w:eastAsia="ar-SA"/>
    </w:rPr>
  </w:style>
  <w:style w:type="character" w:customStyle="1" w:styleId="72">
    <w:name w:val="S_Обычный Знак"/>
    <w:basedOn w:val="10"/>
    <w:link w:val="73"/>
    <w:qFormat/>
    <w:locked/>
    <w:uiPriority w:val="0"/>
    <w:rPr>
      <w:rFonts w:ascii="Bookman Old Style" w:hAnsi="Bookman Old Style" w:eastAsia="Times New Roman"/>
      <w:sz w:val="24"/>
      <w:szCs w:val="24"/>
    </w:rPr>
  </w:style>
  <w:style w:type="paragraph" w:customStyle="1" w:styleId="73">
    <w:name w:val="S_Обычный"/>
    <w:basedOn w:val="1"/>
    <w:link w:val="72"/>
    <w:qFormat/>
    <w:uiPriority w:val="0"/>
    <w:pPr>
      <w:widowControl/>
      <w:autoSpaceDE/>
      <w:autoSpaceDN/>
      <w:spacing w:line="276" w:lineRule="auto"/>
      <w:ind w:firstLine="567"/>
      <w:jc w:val="both"/>
    </w:pPr>
    <w:rPr>
      <w:rFonts w:ascii="Bookman Old Style" w:hAnsi="Bookman Old Style" w:cstheme="minorBidi"/>
      <w:sz w:val="24"/>
      <w:szCs w:val="24"/>
    </w:rPr>
  </w:style>
  <w:style w:type="character" w:customStyle="1" w:styleId="74">
    <w:name w:val="Текст сноски Знак"/>
    <w:basedOn w:val="10"/>
    <w:link w:val="25"/>
    <w:semiHidden/>
    <w:qFormat/>
    <w:locked/>
    <w:uiPriority w:val="0"/>
  </w:style>
  <w:style w:type="character" w:customStyle="1" w:styleId="75">
    <w:name w:val="Текст сноски Знак1"/>
    <w:basedOn w:val="10"/>
    <w:semiHidden/>
    <w:qFormat/>
    <w:uiPriority w:val="99"/>
    <w:rPr>
      <w:rFonts w:ascii="Times New Roman" w:hAnsi="Times New Roman" w:eastAsia="Times New Roman" w:cs="Times New Roman"/>
      <w:sz w:val="20"/>
      <w:szCs w:val="20"/>
    </w:rPr>
  </w:style>
  <w:style w:type="paragraph" w:customStyle="1" w:styleId="76">
    <w:name w:val="Знак Знак Знак Знак"/>
    <w:basedOn w:val="1"/>
    <w:qFormat/>
    <w:uiPriority w:val="0"/>
    <w:pPr>
      <w:widowControl/>
      <w:autoSpaceDE/>
      <w:autoSpaceDN/>
      <w:spacing w:after="160" w:line="240" w:lineRule="exact"/>
    </w:pPr>
    <w:rPr>
      <w:rFonts w:ascii="Verdana" w:hAnsi="Verdana"/>
      <w:sz w:val="24"/>
      <w:szCs w:val="24"/>
    </w:rPr>
  </w:style>
  <w:style w:type="character" w:customStyle="1" w:styleId="77">
    <w:name w:val="Основной текст Знак"/>
    <w:basedOn w:val="10"/>
    <w:link w:val="30"/>
    <w:qFormat/>
    <w:uiPriority w:val="1"/>
    <w:rPr>
      <w:rFonts w:ascii="Times New Roman" w:hAnsi="Times New Roman" w:eastAsia="Times New Roman" w:cs="Times New Roman"/>
      <w:sz w:val="28"/>
      <w:szCs w:val="28"/>
    </w:rPr>
  </w:style>
  <w:style w:type="character" w:customStyle="1" w:styleId="78">
    <w:name w:val="Основной текст с отступом Знак"/>
    <w:basedOn w:val="10"/>
    <w:link w:val="37"/>
    <w:semiHidden/>
    <w:qFormat/>
    <w:uiPriority w:val="99"/>
    <w:rPr>
      <w:rFonts w:ascii="Times New Roman" w:hAnsi="Times New Roman" w:eastAsia="Times New Roman" w:cs="Times New Roman"/>
    </w:rPr>
  </w:style>
  <w:style w:type="character" w:customStyle="1" w:styleId="79">
    <w:name w:val="value-span"/>
    <w:basedOn w:val="10"/>
    <w:qFormat/>
    <w:uiPriority w:val="0"/>
  </w:style>
  <w:style w:type="paragraph" w:customStyle="1" w:styleId="80">
    <w:name w:val="Основной текст с красной"/>
    <w:basedOn w:val="30"/>
    <w:qFormat/>
    <w:uiPriority w:val="0"/>
    <w:pPr>
      <w:widowControl/>
      <w:autoSpaceDE/>
      <w:autoSpaceDN/>
      <w:spacing w:before="60" w:after="20"/>
      <w:ind w:firstLine="454"/>
      <w:jc w:val="both"/>
    </w:pPr>
    <w:rPr>
      <w:rFonts w:ascii="Times New Roman CYR" w:hAnsi="Times New Roman CYR"/>
      <w:sz w:val="18"/>
      <w:szCs w:val="20"/>
      <w:lang w:val="ru-RU" w:eastAsia="ru-RU"/>
    </w:rPr>
  </w:style>
  <w:style w:type="paragraph" w:customStyle="1" w:styleId="81">
    <w:name w:val="blacktext"/>
    <w:basedOn w:val="1"/>
    <w:qFormat/>
    <w:uiPriority w:val="0"/>
    <w:pPr>
      <w:widowControl/>
      <w:autoSpaceDE/>
      <w:autoSpaceDN/>
      <w:spacing w:before="100" w:beforeAutospacing="1" w:after="100" w:afterAutospacing="1"/>
    </w:pPr>
    <w:rPr>
      <w:rFonts w:ascii="Verdana" w:hAnsi="Verdana" w:eastAsia="Arial Unicode MS" w:cs="Arial Unicode MS"/>
      <w:color w:val="003366"/>
      <w:sz w:val="20"/>
      <w:szCs w:val="20"/>
      <w:lang w:val="ru-RU" w:eastAsia="ru-RU"/>
    </w:rPr>
  </w:style>
  <w:style w:type="character" w:customStyle="1" w:styleId="82">
    <w:name w:val="Заголовок 5 Знак"/>
    <w:basedOn w:val="10"/>
    <w:link w:val="6"/>
    <w:qFormat/>
    <w:uiPriority w:val="0"/>
    <w:rPr>
      <w:rFonts w:ascii="Times New Roman" w:hAnsi="Times New Roman" w:eastAsia="Times New Roman" w:cs="Times New Roman"/>
      <w:b/>
      <w:bCs/>
      <w:i/>
      <w:iCs/>
      <w:sz w:val="26"/>
      <w:szCs w:val="26"/>
      <w:lang w:val="ru-RU" w:eastAsia="ar-SA"/>
    </w:rPr>
  </w:style>
  <w:style w:type="character" w:customStyle="1" w:styleId="83">
    <w:name w:val="Заголовок 8 Знак"/>
    <w:basedOn w:val="10"/>
    <w:link w:val="8"/>
    <w:qFormat/>
    <w:uiPriority w:val="0"/>
    <w:rPr>
      <w:rFonts w:ascii="Times New Roman" w:hAnsi="Times New Roman" w:eastAsia="Times New Roman" w:cs="Times New Roman"/>
      <w:i/>
      <w:iCs/>
      <w:sz w:val="24"/>
      <w:szCs w:val="24"/>
      <w:lang w:val="ru-RU" w:eastAsia="ru-RU"/>
    </w:rPr>
  </w:style>
  <w:style w:type="character" w:customStyle="1" w:styleId="84">
    <w:name w:val="Заголовок 9 Знак"/>
    <w:basedOn w:val="10"/>
    <w:link w:val="9"/>
    <w:qFormat/>
    <w:uiPriority w:val="0"/>
    <w:rPr>
      <w:rFonts w:ascii="Arial" w:hAnsi="Arial" w:eastAsia="Times New Roman" w:cs="Arial"/>
      <w:lang w:val="ru-RU" w:eastAsia="ru-RU"/>
    </w:rPr>
  </w:style>
  <w:style w:type="character" w:customStyle="1" w:styleId="85">
    <w:name w:val="Основной текст 2 Знак"/>
    <w:basedOn w:val="10"/>
    <w:link w:val="19"/>
    <w:qFormat/>
    <w:uiPriority w:val="0"/>
    <w:rPr>
      <w:rFonts w:ascii="Arial" w:hAnsi="Arial" w:eastAsia="Times New Roman" w:cs="Times New Roman"/>
      <w:b/>
      <w:szCs w:val="20"/>
      <w:lang w:val="ru-RU"/>
    </w:rPr>
  </w:style>
  <w:style w:type="character" w:customStyle="1" w:styleId="86">
    <w:name w:val="Основной текст 3 Знак"/>
    <w:basedOn w:val="10"/>
    <w:link w:val="42"/>
    <w:qFormat/>
    <w:uiPriority w:val="0"/>
    <w:rPr>
      <w:rFonts w:ascii="Arial" w:hAnsi="Arial" w:eastAsia="Times New Roman" w:cs="Times New Roman"/>
      <w:b/>
      <w:sz w:val="24"/>
      <w:szCs w:val="20"/>
      <w:lang w:val="ru-RU"/>
    </w:rPr>
  </w:style>
  <w:style w:type="paragraph" w:customStyle="1" w:styleId="87">
    <w:name w:val="Таблица2"/>
    <w:basedOn w:val="1"/>
    <w:autoRedefine/>
    <w:qFormat/>
    <w:uiPriority w:val="0"/>
    <w:pPr>
      <w:widowControl/>
      <w:adjustRightInd w:val="0"/>
      <w:spacing w:line="220" w:lineRule="exact"/>
    </w:pPr>
    <w:rPr>
      <w:rFonts w:ascii="Tahoma" w:hAnsi="Tahoma" w:cs="Tahoma"/>
      <w:sz w:val="20"/>
      <w:szCs w:val="20"/>
      <w:lang w:val="ru-RU" w:eastAsia="ru-RU"/>
    </w:rPr>
  </w:style>
  <w:style w:type="paragraph" w:customStyle="1" w:styleId="88">
    <w:name w:val="Таблица10Пункт"/>
    <w:basedOn w:val="1"/>
    <w:autoRedefine/>
    <w:qFormat/>
    <w:uiPriority w:val="0"/>
    <w:pPr>
      <w:autoSpaceDE/>
      <w:autoSpaceDN/>
      <w:spacing w:line="312" w:lineRule="auto"/>
      <w:jc w:val="right"/>
    </w:pPr>
    <w:rPr>
      <w:color w:val="000000"/>
      <w:spacing w:val="4"/>
      <w:sz w:val="24"/>
      <w:szCs w:val="24"/>
      <w:lang w:val="ru-RU" w:eastAsia="ru-RU"/>
    </w:rPr>
  </w:style>
  <w:style w:type="paragraph" w:customStyle="1" w:styleId="89">
    <w:name w:val="Таблица цифры"/>
    <w:basedOn w:val="1"/>
    <w:qFormat/>
    <w:uiPriority w:val="0"/>
    <w:pPr>
      <w:widowControl/>
      <w:tabs>
        <w:tab w:val="left" w:pos="113"/>
        <w:tab w:val="left" w:pos="227"/>
        <w:tab w:val="left" w:pos="340"/>
        <w:tab w:val="left" w:pos="454"/>
        <w:tab w:val="left" w:pos="680"/>
      </w:tabs>
      <w:autoSpaceDE/>
      <w:autoSpaceDN/>
      <w:spacing w:before="40" w:after="40"/>
      <w:jc w:val="right"/>
    </w:pPr>
    <w:rPr>
      <w:rFonts w:ascii="Arial" w:hAnsi="Arial"/>
      <w:sz w:val="16"/>
      <w:szCs w:val="20"/>
      <w:lang w:val="ru-RU" w:eastAsia="ru-RU"/>
    </w:rPr>
  </w:style>
  <w:style w:type="paragraph" w:customStyle="1" w:styleId="90">
    <w:name w:val="Таблица текст"/>
    <w:basedOn w:val="1"/>
    <w:qFormat/>
    <w:uiPriority w:val="0"/>
    <w:pPr>
      <w:widowControl/>
      <w:tabs>
        <w:tab w:val="left" w:pos="227"/>
        <w:tab w:val="left" w:pos="454"/>
        <w:tab w:val="left" w:pos="680"/>
      </w:tabs>
      <w:autoSpaceDE/>
      <w:autoSpaceDN/>
      <w:spacing w:before="40" w:after="40"/>
      <w:ind w:left="57" w:right="57"/>
    </w:pPr>
    <w:rPr>
      <w:rFonts w:ascii="Arial" w:hAnsi="Arial"/>
      <w:sz w:val="16"/>
      <w:szCs w:val="20"/>
      <w:lang w:val="ru-RU" w:eastAsia="ru-RU"/>
    </w:rPr>
  </w:style>
  <w:style w:type="paragraph" w:customStyle="1" w:styleId="91">
    <w:name w:val="Таблица"/>
    <w:qFormat/>
    <w:uiPriority w:val="0"/>
    <w:pPr>
      <w:widowControl/>
      <w:autoSpaceDE/>
      <w:autoSpaceDN/>
      <w:spacing w:before="120" w:line="204" w:lineRule="auto"/>
    </w:pPr>
    <w:rPr>
      <w:rFonts w:ascii="Times New Roman" w:hAnsi="Times New Roman" w:eastAsia="Times New Roman" w:cs="Times New Roman"/>
      <w:sz w:val="24"/>
      <w:szCs w:val="20"/>
      <w:lang w:val="ru-RU" w:eastAsia="ru-RU" w:bidi="ar-SA"/>
    </w:rPr>
  </w:style>
  <w:style w:type="paragraph" w:customStyle="1" w:styleId="92">
    <w:name w:val="Таблица шапка"/>
    <w:basedOn w:val="90"/>
    <w:qFormat/>
    <w:uiPriority w:val="0"/>
    <w:pPr>
      <w:keepNext/>
      <w:keepLines/>
      <w:tabs>
        <w:tab w:val="left" w:pos="113"/>
        <w:tab w:val="left" w:pos="340"/>
      </w:tabs>
      <w:ind w:left="0" w:right="0"/>
      <w:jc w:val="center"/>
    </w:pPr>
  </w:style>
  <w:style w:type="paragraph" w:customStyle="1" w:styleId="93">
    <w:name w:val="Таблица подзаголовок"/>
    <w:basedOn w:val="30"/>
    <w:next w:val="80"/>
    <w:qFormat/>
    <w:uiPriority w:val="0"/>
    <w:pPr>
      <w:keepNext/>
      <w:keepLines/>
      <w:widowControl/>
      <w:tabs>
        <w:tab w:val="left" w:pos="170"/>
      </w:tabs>
      <w:suppressAutoHyphens/>
      <w:autoSpaceDE/>
      <w:autoSpaceDN/>
      <w:spacing w:before="60" w:after="120"/>
      <w:jc w:val="center"/>
    </w:pPr>
    <w:rPr>
      <w:rFonts w:ascii="Arial" w:hAnsi="Arial"/>
      <w:sz w:val="16"/>
      <w:szCs w:val="20"/>
      <w:lang w:val="ru-RU" w:eastAsia="ru-RU"/>
    </w:rPr>
  </w:style>
  <w:style w:type="paragraph" w:customStyle="1" w:styleId="94">
    <w:name w:val="Обычный (Web)"/>
    <w:basedOn w:val="1"/>
    <w:qFormat/>
    <w:uiPriority w:val="0"/>
    <w:pPr>
      <w:widowControl/>
      <w:autoSpaceDE/>
      <w:autoSpaceDN/>
      <w:spacing w:before="100" w:beforeAutospacing="1" w:after="100" w:afterAutospacing="1"/>
    </w:pPr>
    <w:rPr>
      <w:sz w:val="24"/>
      <w:szCs w:val="24"/>
      <w:lang w:val="ru-RU" w:eastAsia="ru-RU"/>
    </w:rPr>
  </w:style>
  <w:style w:type="paragraph" w:customStyle="1" w:styleId="95">
    <w:name w:val="Òåêñò òàáëèöû"/>
    <w:basedOn w:val="1"/>
    <w:qFormat/>
    <w:uiPriority w:val="0"/>
    <w:pPr>
      <w:widowControl/>
      <w:overflowPunct w:val="0"/>
      <w:adjustRightInd w:val="0"/>
      <w:spacing w:line="200" w:lineRule="exact"/>
      <w:ind w:firstLine="709"/>
      <w:jc w:val="both"/>
      <w:textAlignment w:val="baseline"/>
    </w:pPr>
    <w:rPr>
      <w:rFonts w:ascii="Baltica" w:hAnsi="Baltica" w:cs="Baltica"/>
      <w:kern w:val="28"/>
      <w:sz w:val="24"/>
      <w:szCs w:val="24"/>
      <w:lang w:val="ru-RU" w:eastAsia="ru-RU"/>
    </w:rPr>
  </w:style>
  <w:style w:type="paragraph" w:customStyle="1" w:styleId="96">
    <w:name w:val="ÎñíîâíîéÍåðàçðûâ"/>
    <w:basedOn w:val="30"/>
    <w:qFormat/>
    <w:uiPriority w:val="0"/>
    <w:pPr>
      <w:keepNext/>
      <w:widowControl/>
      <w:overflowPunct w:val="0"/>
      <w:adjustRightInd w:val="0"/>
      <w:spacing w:after="280" w:line="360" w:lineRule="auto"/>
      <w:ind w:firstLine="720"/>
      <w:jc w:val="both"/>
      <w:textAlignment w:val="baseline"/>
    </w:pPr>
    <w:rPr>
      <w:kern w:val="28"/>
      <w:lang w:val="ru-RU" w:eastAsia="ru-RU"/>
    </w:rPr>
  </w:style>
  <w:style w:type="paragraph" w:customStyle="1" w:styleId="97">
    <w:name w:val="Авторский Курсив"/>
    <w:basedOn w:val="19"/>
    <w:autoRedefine/>
    <w:qFormat/>
    <w:uiPriority w:val="0"/>
    <w:pPr>
      <w:overflowPunct w:val="0"/>
      <w:autoSpaceDE w:val="0"/>
      <w:autoSpaceDN w:val="0"/>
      <w:adjustRightInd w:val="0"/>
      <w:spacing w:before="60"/>
      <w:ind w:firstLine="720"/>
      <w:textAlignment w:val="baseline"/>
    </w:pPr>
    <w:rPr>
      <w:rFonts w:ascii="Monotype Corsiva" w:hAnsi="Monotype Corsiva" w:cs="Monotype Corsiva"/>
      <w:b w:val="0"/>
      <w:sz w:val="28"/>
      <w:szCs w:val="28"/>
      <w:lang w:eastAsia="ru-RU"/>
    </w:rPr>
  </w:style>
  <w:style w:type="paragraph" w:customStyle="1" w:styleId="98">
    <w:name w:val="пример"/>
    <w:basedOn w:val="1"/>
    <w:autoRedefine/>
    <w:qFormat/>
    <w:uiPriority w:val="0"/>
    <w:pPr>
      <w:widowControl/>
      <w:overflowPunct w:val="0"/>
      <w:adjustRightInd w:val="0"/>
      <w:spacing w:line="280" w:lineRule="exact"/>
      <w:ind w:firstLine="720"/>
      <w:jc w:val="both"/>
      <w:textAlignment w:val="baseline"/>
    </w:pPr>
    <w:rPr>
      <w:rFonts w:ascii="Tahoma" w:hAnsi="Tahoma" w:cs="Tahoma"/>
      <w:kern w:val="28"/>
      <w:lang w:val="ru-RU" w:eastAsia="ru-RU"/>
    </w:rPr>
  </w:style>
  <w:style w:type="paragraph" w:customStyle="1" w:styleId="99">
    <w:name w:val="авторы"/>
    <w:basedOn w:val="1"/>
    <w:qFormat/>
    <w:uiPriority w:val="0"/>
    <w:pPr>
      <w:widowControl/>
      <w:spacing w:line="360" w:lineRule="auto"/>
      <w:ind w:left="4820" w:firstLine="720"/>
      <w:jc w:val="both"/>
    </w:pPr>
    <w:rPr>
      <w:b/>
      <w:bCs/>
      <w:i/>
      <w:iCs/>
      <w:color w:val="000000"/>
      <w:sz w:val="28"/>
      <w:szCs w:val="28"/>
      <w:lang w:val="ru-RU" w:eastAsia="ru-RU"/>
    </w:rPr>
  </w:style>
  <w:style w:type="paragraph" w:customStyle="1" w:styleId="100">
    <w:name w:val="Основной текст 21"/>
    <w:basedOn w:val="1"/>
    <w:qFormat/>
    <w:uiPriority w:val="0"/>
    <w:pPr>
      <w:widowControl/>
      <w:suppressAutoHyphens/>
      <w:overflowPunct w:val="0"/>
      <w:autoSpaceDN/>
      <w:jc w:val="both"/>
      <w:textAlignment w:val="baseline"/>
    </w:pPr>
    <w:rPr>
      <w:sz w:val="28"/>
      <w:szCs w:val="20"/>
      <w:lang w:val="ru-RU" w:eastAsia="ar-SA"/>
    </w:rPr>
  </w:style>
  <w:style w:type="character" w:customStyle="1" w:styleId="101">
    <w:name w:val="Схема документа Знак"/>
    <w:basedOn w:val="10"/>
    <w:link w:val="24"/>
    <w:semiHidden/>
    <w:qFormat/>
    <w:uiPriority w:val="0"/>
    <w:rPr>
      <w:rFonts w:ascii="Tahoma" w:hAnsi="Tahoma" w:eastAsia="Times New Roman" w:cs="Tahoma"/>
      <w:sz w:val="20"/>
      <w:szCs w:val="20"/>
      <w:shd w:val="clear" w:color="auto" w:fill="000080"/>
      <w:lang w:val="ru-RU" w:eastAsia="ar-SA"/>
    </w:rPr>
  </w:style>
  <w:style w:type="paragraph" w:customStyle="1" w:styleId="102">
    <w:name w:val="Основной текст с отступом 22"/>
    <w:basedOn w:val="1"/>
    <w:qFormat/>
    <w:uiPriority w:val="0"/>
    <w:pPr>
      <w:widowControl/>
      <w:suppressAutoHyphens/>
      <w:autoSpaceDE/>
      <w:autoSpaceDN/>
      <w:spacing w:after="120" w:line="480" w:lineRule="auto"/>
      <w:ind w:left="283"/>
    </w:pPr>
    <w:rPr>
      <w:sz w:val="24"/>
      <w:szCs w:val="24"/>
      <w:lang w:val="ru-RU" w:eastAsia="ar-SA"/>
    </w:rPr>
  </w:style>
  <w:style w:type="character" w:customStyle="1" w:styleId="103">
    <w:name w:val="WW8Num1z0"/>
    <w:qFormat/>
    <w:uiPriority w:val="0"/>
    <w:rPr>
      <w:rFonts w:ascii="Symbol" w:hAnsi="Symbol"/>
    </w:rPr>
  </w:style>
  <w:style w:type="character" w:customStyle="1" w:styleId="104">
    <w:name w:val="WW8Num1z1"/>
    <w:qFormat/>
    <w:uiPriority w:val="0"/>
    <w:rPr>
      <w:rFonts w:ascii="Courier New" w:hAnsi="Courier New" w:cs="Courier New"/>
    </w:rPr>
  </w:style>
  <w:style w:type="character" w:customStyle="1" w:styleId="105">
    <w:name w:val="WW8Num1z2"/>
    <w:qFormat/>
    <w:uiPriority w:val="0"/>
    <w:rPr>
      <w:rFonts w:ascii="Wingdings" w:hAnsi="Wingdings"/>
    </w:rPr>
  </w:style>
  <w:style w:type="character" w:customStyle="1" w:styleId="106">
    <w:name w:val="WW8Num2z0"/>
    <w:qFormat/>
    <w:uiPriority w:val="0"/>
    <w:rPr>
      <w:rFonts w:ascii="Symbol" w:hAnsi="Symbol"/>
    </w:rPr>
  </w:style>
  <w:style w:type="character" w:customStyle="1" w:styleId="107">
    <w:name w:val="WW8Num2z1"/>
    <w:qFormat/>
    <w:uiPriority w:val="0"/>
    <w:rPr>
      <w:rFonts w:ascii="Courier New" w:hAnsi="Courier New" w:cs="Courier New"/>
    </w:rPr>
  </w:style>
  <w:style w:type="character" w:customStyle="1" w:styleId="108">
    <w:name w:val="WW8Num2z2"/>
    <w:qFormat/>
    <w:uiPriority w:val="0"/>
    <w:rPr>
      <w:rFonts w:ascii="Wingdings" w:hAnsi="Wingdings"/>
    </w:rPr>
  </w:style>
  <w:style w:type="character" w:customStyle="1" w:styleId="109">
    <w:name w:val="WW8Num3z0"/>
    <w:qFormat/>
    <w:uiPriority w:val="0"/>
    <w:rPr>
      <w:rFonts w:ascii="Symbol" w:hAnsi="Symbol"/>
    </w:rPr>
  </w:style>
  <w:style w:type="character" w:customStyle="1" w:styleId="110">
    <w:name w:val="WW8Num3z1"/>
    <w:qFormat/>
    <w:uiPriority w:val="0"/>
    <w:rPr>
      <w:rFonts w:ascii="Courier New" w:hAnsi="Courier New" w:cs="Courier New"/>
    </w:rPr>
  </w:style>
  <w:style w:type="character" w:customStyle="1" w:styleId="111">
    <w:name w:val="WW8Num3z2"/>
    <w:qFormat/>
    <w:uiPriority w:val="0"/>
    <w:rPr>
      <w:rFonts w:ascii="Wingdings" w:hAnsi="Wingdings"/>
    </w:rPr>
  </w:style>
  <w:style w:type="character" w:customStyle="1" w:styleId="112">
    <w:name w:val="WW8Num4z0"/>
    <w:qFormat/>
    <w:uiPriority w:val="0"/>
    <w:rPr>
      <w:rFonts w:ascii="Symbol" w:hAnsi="Symbol"/>
      <w:color w:val="auto"/>
    </w:rPr>
  </w:style>
  <w:style w:type="character" w:customStyle="1" w:styleId="113">
    <w:name w:val="WW8Num4z1"/>
    <w:qFormat/>
    <w:uiPriority w:val="0"/>
    <w:rPr>
      <w:rFonts w:ascii="Courier New" w:hAnsi="Courier New" w:cs="Courier New"/>
    </w:rPr>
  </w:style>
  <w:style w:type="character" w:customStyle="1" w:styleId="114">
    <w:name w:val="WW8Num4z2"/>
    <w:qFormat/>
    <w:uiPriority w:val="0"/>
    <w:rPr>
      <w:rFonts w:ascii="Wingdings" w:hAnsi="Wingdings"/>
    </w:rPr>
  </w:style>
  <w:style w:type="character" w:customStyle="1" w:styleId="115">
    <w:name w:val="WW8Num4z3"/>
    <w:qFormat/>
    <w:uiPriority w:val="0"/>
    <w:rPr>
      <w:rFonts w:ascii="Symbol" w:hAnsi="Symbol"/>
    </w:rPr>
  </w:style>
  <w:style w:type="character" w:customStyle="1" w:styleId="116">
    <w:name w:val="WW8Num5z0"/>
    <w:qFormat/>
    <w:uiPriority w:val="0"/>
    <w:rPr>
      <w:rFonts w:ascii="Times New Roman" w:hAnsi="Times New Roman" w:eastAsia="Times New Roman" w:cs="Times New Roman"/>
    </w:rPr>
  </w:style>
  <w:style w:type="character" w:customStyle="1" w:styleId="117">
    <w:name w:val="WW8Num5z1"/>
    <w:qFormat/>
    <w:uiPriority w:val="0"/>
    <w:rPr>
      <w:rFonts w:ascii="Courier New" w:hAnsi="Courier New"/>
    </w:rPr>
  </w:style>
  <w:style w:type="character" w:customStyle="1" w:styleId="118">
    <w:name w:val="WW8Num5z2"/>
    <w:qFormat/>
    <w:uiPriority w:val="0"/>
    <w:rPr>
      <w:rFonts w:ascii="Wingdings" w:hAnsi="Wingdings"/>
    </w:rPr>
  </w:style>
  <w:style w:type="character" w:customStyle="1" w:styleId="119">
    <w:name w:val="WW8Num5z3"/>
    <w:qFormat/>
    <w:uiPriority w:val="0"/>
    <w:rPr>
      <w:rFonts w:ascii="Symbol" w:hAnsi="Symbol"/>
    </w:rPr>
  </w:style>
  <w:style w:type="character" w:customStyle="1" w:styleId="120">
    <w:name w:val="WW8Num6z0"/>
    <w:qFormat/>
    <w:uiPriority w:val="0"/>
    <w:rPr>
      <w:rFonts w:ascii="Symbol" w:hAnsi="Symbol"/>
    </w:rPr>
  </w:style>
  <w:style w:type="character" w:customStyle="1" w:styleId="121">
    <w:name w:val="WW8Num6z1"/>
    <w:qFormat/>
    <w:uiPriority w:val="0"/>
    <w:rPr>
      <w:rFonts w:ascii="Courier New" w:hAnsi="Courier New" w:cs="Courier New"/>
    </w:rPr>
  </w:style>
  <w:style w:type="character" w:customStyle="1" w:styleId="122">
    <w:name w:val="WW8Num6z2"/>
    <w:qFormat/>
    <w:uiPriority w:val="0"/>
    <w:rPr>
      <w:rFonts w:ascii="Wingdings" w:hAnsi="Wingdings"/>
    </w:rPr>
  </w:style>
  <w:style w:type="character" w:customStyle="1" w:styleId="123">
    <w:name w:val="WW8Num7z0"/>
    <w:qFormat/>
    <w:uiPriority w:val="0"/>
    <w:rPr>
      <w:rFonts w:ascii="Symbol" w:hAnsi="Symbol"/>
    </w:rPr>
  </w:style>
  <w:style w:type="character" w:customStyle="1" w:styleId="124">
    <w:name w:val="WW8Num7z1"/>
    <w:qFormat/>
    <w:uiPriority w:val="0"/>
    <w:rPr>
      <w:rFonts w:ascii="Courier New" w:hAnsi="Courier New" w:cs="Courier New"/>
    </w:rPr>
  </w:style>
  <w:style w:type="character" w:customStyle="1" w:styleId="125">
    <w:name w:val="WW8Num7z2"/>
    <w:qFormat/>
    <w:uiPriority w:val="0"/>
    <w:rPr>
      <w:rFonts w:ascii="Wingdings" w:hAnsi="Wingdings"/>
    </w:rPr>
  </w:style>
  <w:style w:type="character" w:customStyle="1" w:styleId="126">
    <w:name w:val="WW8Num8z0"/>
    <w:qFormat/>
    <w:uiPriority w:val="0"/>
    <w:rPr>
      <w:rFonts w:ascii="Wingdings" w:hAnsi="Wingdings"/>
    </w:rPr>
  </w:style>
  <w:style w:type="character" w:customStyle="1" w:styleId="127">
    <w:name w:val="WW8Num8z1"/>
    <w:qFormat/>
    <w:uiPriority w:val="0"/>
    <w:rPr>
      <w:rFonts w:ascii="Courier New" w:hAnsi="Courier New"/>
    </w:rPr>
  </w:style>
  <w:style w:type="character" w:customStyle="1" w:styleId="128">
    <w:name w:val="WW8Num8z3"/>
    <w:qFormat/>
    <w:uiPriority w:val="0"/>
    <w:rPr>
      <w:rFonts w:ascii="Symbol" w:hAnsi="Symbol"/>
    </w:rPr>
  </w:style>
  <w:style w:type="character" w:customStyle="1" w:styleId="129">
    <w:name w:val="WW8Num9z0"/>
    <w:qFormat/>
    <w:uiPriority w:val="0"/>
    <w:rPr>
      <w:rFonts w:ascii="Symbol" w:hAnsi="Symbol"/>
    </w:rPr>
  </w:style>
  <w:style w:type="character" w:customStyle="1" w:styleId="130">
    <w:name w:val="WW8Num9z1"/>
    <w:qFormat/>
    <w:uiPriority w:val="0"/>
    <w:rPr>
      <w:rFonts w:ascii="Courier New" w:hAnsi="Courier New" w:cs="Courier New"/>
    </w:rPr>
  </w:style>
  <w:style w:type="character" w:customStyle="1" w:styleId="131">
    <w:name w:val="WW8Num9z2"/>
    <w:qFormat/>
    <w:uiPriority w:val="0"/>
    <w:rPr>
      <w:rFonts w:ascii="Wingdings" w:hAnsi="Wingdings"/>
    </w:rPr>
  </w:style>
  <w:style w:type="character" w:customStyle="1" w:styleId="132">
    <w:name w:val="WW8Num11z0"/>
    <w:qFormat/>
    <w:uiPriority w:val="0"/>
    <w:rPr>
      <w:rFonts w:ascii="Symbol" w:hAnsi="Symbol"/>
    </w:rPr>
  </w:style>
  <w:style w:type="character" w:customStyle="1" w:styleId="133">
    <w:name w:val="WW8Num11z1"/>
    <w:qFormat/>
    <w:uiPriority w:val="0"/>
    <w:rPr>
      <w:rFonts w:ascii="Courier New" w:hAnsi="Courier New" w:cs="Courier New"/>
    </w:rPr>
  </w:style>
  <w:style w:type="character" w:customStyle="1" w:styleId="134">
    <w:name w:val="WW8Num11z2"/>
    <w:qFormat/>
    <w:uiPriority w:val="0"/>
    <w:rPr>
      <w:rFonts w:ascii="Wingdings" w:hAnsi="Wingdings"/>
    </w:rPr>
  </w:style>
  <w:style w:type="character" w:customStyle="1" w:styleId="135">
    <w:name w:val="WW8Num12z0"/>
    <w:qFormat/>
    <w:uiPriority w:val="0"/>
    <w:rPr>
      <w:rFonts w:ascii="Symbol" w:hAnsi="Symbol"/>
    </w:rPr>
  </w:style>
  <w:style w:type="character" w:customStyle="1" w:styleId="136">
    <w:name w:val="WW8Num12z1"/>
    <w:qFormat/>
    <w:uiPriority w:val="0"/>
    <w:rPr>
      <w:rFonts w:ascii="Courier New" w:hAnsi="Courier New" w:cs="Courier New"/>
    </w:rPr>
  </w:style>
  <w:style w:type="character" w:customStyle="1" w:styleId="137">
    <w:name w:val="WW8Num12z2"/>
    <w:qFormat/>
    <w:uiPriority w:val="0"/>
    <w:rPr>
      <w:rFonts w:ascii="Wingdings" w:hAnsi="Wingdings"/>
    </w:rPr>
  </w:style>
  <w:style w:type="character" w:customStyle="1" w:styleId="138">
    <w:name w:val="WW8Num13z0"/>
    <w:qFormat/>
    <w:uiPriority w:val="0"/>
    <w:rPr>
      <w:rFonts w:ascii="Symbol" w:hAnsi="Symbol"/>
    </w:rPr>
  </w:style>
  <w:style w:type="character" w:customStyle="1" w:styleId="139">
    <w:name w:val="WW8Num13z1"/>
    <w:qFormat/>
    <w:uiPriority w:val="0"/>
    <w:rPr>
      <w:rFonts w:ascii="Courier New" w:hAnsi="Courier New" w:cs="Courier New"/>
    </w:rPr>
  </w:style>
  <w:style w:type="character" w:customStyle="1" w:styleId="140">
    <w:name w:val="WW8Num13z2"/>
    <w:qFormat/>
    <w:uiPriority w:val="0"/>
    <w:rPr>
      <w:rFonts w:ascii="Wingdings" w:hAnsi="Wingdings"/>
    </w:rPr>
  </w:style>
  <w:style w:type="character" w:customStyle="1" w:styleId="141">
    <w:name w:val="Основной шрифт абзаца1"/>
    <w:qFormat/>
    <w:uiPriority w:val="0"/>
  </w:style>
  <w:style w:type="paragraph" w:customStyle="1" w:styleId="142">
    <w:name w:val="Заголовок1"/>
    <w:basedOn w:val="1"/>
    <w:next w:val="30"/>
    <w:qFormat/>
    <w:uiPriority w:val="0"/>
    <w:pPr>
      <w:keepNext/>
      <w:widowControl/>
      <w:suppressAutoHyphens/>
      <w:autoSpaceDE/>
      <w:autoSpaceDN/>
      <w:spacing w:before="240" w:after="120"/>
    </w:pPr>
    <w:rPr>
      <w:rFonts w:ascii="Arial" w:hAnsi="Arial" w:eastAsia="Arial Unicode MS" w:cs="Tahoma"/>
      <w:sz w:val="28"/>
      <w:szCs w:val="28"/>
      <w:lang w:val="ru-RU" w:eastAsia="ar-SA"/>
    </w:rPr>
  </w:style>
  <w:style w:type="paragraph" w:customStyle="1" w:styleId="143">
    <w:name w:val="Название1"/>
    <w:basedOn w:val="1"/>
    <w:qFormat/>
    <w:uiPriority w:val="0"/>
    <w:pPr>
      <w:widowControl/>
      <w:suppressLineNumbers/>
      <w:suppressAutoHyphens/>
      <w:autoSpaceDE/>
      <w:autoSpaceDN/>
      <w:spacing w:before="120" w:after="120"/>
    </w:pPr>
    <w:rPr>
      <w:rFonts w:ascii="Arial" w:hAnsi="Arial" w:cs="Tahoma"/>
      <w:i/>
      <w:iCs/>
      <w:sz w:val="20"/>
      <w:szCs w:val="24"/>
      <w:lang w:val="ru-RU" w:eastAsia="ar-SA"/>
    </w:rPr>
  </w:style>
  <w:style w:type="paragraph" w:customStyle="1" w:styleId="144">
    <w:name w:val="Указатель1"/>
    <w:basedOn w:val="1"/>
    <w:qFormat/>
    <w:uiPriority w:val="0"/>
    <w:pPr>
      <w:widowControl/>
      <w:suppressLineNumbers/>
      <w:suppressAutoHyphens/>
      <w:autoSpaceDE/>
      <w:autoSpaceDN/>
    </w:pPr>
    <w:rPr>
      <w:rFonts w:ascii="Arial" w:hAnsi="Arial" w:cs="Tahoma"/>
      <w:sz w:val="24"/>
      <w:szCs w:val="24"/>
      <w:lang w:val="ru-RU" w:eastAsia="ar-SA"/>
    </w:rPr>
  </w:style>
  <w:style w:type="paragraph" w:customStyle="1" w:styleId="145">
    <w:name w:val="Схема документа1"/>
    <w:basedOn w:val="1"/>
    <w:qFormat/>
    <w:uiPriority w:val="0"/>
    <w:pPr>
      <w:widowControl/>
      <w:shd w:val="clear" w:color="auto" w:fill="000080"/>
      <w:suppressAutoHyphens/>
      <w:autoSpaceDE/>
      <w:autoSpaceDN/>
    </w:pPr>
    <w:rPr>
      <w:rFonts w:ascii="Tahoma" w:hAnsi="Tahoma" w:cs="Tahoma"/>
      <w:sz w:val="20"/>
      <w:szCs w:val="20"/>
      <w:lang w:val="ru-RU" w:eastAsia="ar-SA"/>
    </w:rPr>
  </w:style>
  <w:style w:type="paragraph" w:customStyle="1" w:styleId="146">
    <w:name w:val="Оглавление 10"/>
    <w:basedOn w:val="144"/>
    <w:qFormat/>
    <w:uiPriority w:val="0"/>
    <w:pPr>
      <w:tabs>
        <w:tab w:val="right" w:leader="dot" w:pos="9637"/>
      </w:tabs>
      <w:ind w:left="2547"/>
    </w:pPr>
  </w:style>
  <w:style w:type="paragraph" w:customStyle="1" w:styleId="147">
    <w:name w:val="Содержимое таблицы"/>
    <w:basedOn w:val="1"/>
    <w:qFormat/>
    <w:uiPriority w:val="0"/>
    <w:pPr>
      <w:widowControl/>
      <w:suppressLineNumbers/>
      <w:suppressAutoHyphens/>
      <w:autoSpaceDE/>
      <w:autoSpaceDN/>
    </w:pPr>
    <w:rPr>
      <w:sz w:val="24"/>
      <w:szCs w:val="24"/>
      <w:lang w:val="ru-RU" w:eastAsia="ar-SA"/>
    </w:rPr>
  </w:style>
  <w:style w:type="paragraph" w:customStyle="1" w:styleId="148">
    <w:name w:val="Заголовок таблицы"/>
    <w:basedOn w:val="147"/>
    <w:qFormat/>
    <w:uiPriority w:val="0"/>
    <w:pPr>
      <w:jc w:val="center"/>
    </w:pPr>
    <w:rPr>
      <w:b/>
      <w:bCs/>
    </w:rPr>
  </w:style>
  <w:style w:type="paragraph" w:customStyle="1" w:styleId="149">
    <w:name w:val="Содержимое врезки"/>
    <w:basedOn w:val="30"/>
    <w:qFormat/>
    <w:uiPriority w:val="0"/>
    <w:pPr>
      <w:widowControl/>
      <w:suppressAutoHyphens/>
      <w:autoSpaceDE/>
      <w:autoSpaceDN/>
      <w:spacing w:after="120"/>
    </w:pPr>
    <w:rPr>
      <w:sz w:val="24"/>
      <w:szCs w:val="24"/>
      <w:lang w:val="ru-RU" w:eastAsia="ar-SA"/>
    </w:rPr>
  </w:style>
  <w:style w:type="character" w:customStyle="1" w:styleId="150">
    <w:name w:val="subtitle1"/>
    <w:basedOn w:val="10"/>
    <w:qFormat/>
    <w:uiPriority w:val="0"/>
    <w:rPr>
      <w:rFonts w:hint="default" w:ascii="Times New Roman" w:hAnsi="Times New Roman" w:cs="Times New Roman"/>
      <w:color w:val="003366"/>
      <w:sz w:val="15"/>
      <w:szCs w:val="15"/>
    </w:rPr>
  </w:style>
  <w:style w:type="paragraph" w:customStyle="1" w:styleId="151">
    <w:name w:val="Знак1 Знак Знак Знак Знак Знак Знак Знак Знак1 Char"/>
    <w:basedOn w:val="1"/>
    <w:qFormat/>
    <w:uiPriority w:val="0"/>
    <w:pPr>
      <w:widowControl/>
      <w:autoSpaceDE/>
      <w:autoSpaceDN/>
      <w:spacing w:after="160" w:line="240" w:lineRule="exact"/>
    </w:pPr>
    <w:rPr>
      <w:rFonts w:ascii="Verdana" w:hAnsi="Verdana"/>
      <w:sz w:val="20"/>
      <w:szCs w:val="20"/>
    </w:rPr>
  </w:style>
  <w:style w:type="paragraph" w:customStyle="1" w:styleId="152">
    <w:name w:val="xl29"/>
    <w:basedOn w:val="1"/>
    <w:qFormat/>
    <w:uiPriority w:val="0"/>
    <w:pPr>
      <w:widowControl/>
      <w:pBdr>
        <w:top w:val="single" w:color="auto" w:sz="4" w:space="0"/>
        <w:left w:val="single" w:color="auto" w:sz="4" w:space="0"/>
        <w:bottom w:val="single" w:color="auto" w:sz="4" w:space="0"/>
        <w:right w:val="single" w:color="auto" w:sz="4" w:space="0"/>
      </w:pBdr>
      <w:autoSpaceDE/>
      <w:autoSpaceDN/>
      <w:spacing w:before="100" w:beforeAutospacing="1" w:after="100" w:afterAutospacing="1"/>
      <w:jc w:val="center"/>
      <w:textAlignment w:val="center"/>
    </w:pPr>
    <w:rPr>
      <w:rFonts w:ascii="Arial" w:hAnsi="Arial" w:cs="Arial"/>
      <w:color w:val="000000"/>
      <w:sz w:val="24"/>
      <w:szCs w:val="24"/>
      <w:lang w:val="ru-RU" w:eastAsia="ru-RU"/>
    </w:rPr>
  </w:style>
  <w:style w:type="paragraph" w:customStyle="1" w:styleId="153">
    <w:name w:val="xl24"/>
    <w:basedOn w:val="1"/>
    <w:qFormat/>
    <w:uiPriority w:val="0"/>
    <w:pPr>
      <w:widowControl/>
      <w:pBdr>
        <w:top w:val="single" w:color="auto" w:sz="4" w:space="0"/>
        <w:left w:val="single" w:color="auto" w:sz="4" w:space="0"/>
        <w:bottom w:val="single" w:color="auto" w:sz="4" w:space="0"/>
        <w:right w:val="single" w:color="auto" w:sz="4" w:space="0"/>
      </w:pBdr>
      <w:autoSpaceDE/>
      <w:autoSpaceDN/>
      <w:spacing w:before="100" w:beforeAutospacing="1" w:after="100" w:afterAutospacing="1"/>
      <w:jc w:val="center"/>
      <w:textAlignment w:val="center"/>
    </w:pPr>
    <w:rPr>
      <w:sz w:val="24"/>
      <w:szCs w:val="24"/>
      <w:lang w:val="ru-RU" w:eastAsia="ru-RU"/>
    </w:rPr>
  </w:style>
  <w:style w:type="paragraph" w:customStyle="1" w:styleId="154">
    <w:name w:val="Обычный1"/>
    <w:qFormat/>
    <w:uiPriority w:val="0"/>
    <w:pPr>
      <w:widowControl w:val="0"/>
      <w:autoSpaceDE/>
      <w:autoSpaceDN/>
    </w:pPr>
    <w:rPr>
      <w:rFonts w:ascii="Times New Roman" w:hAnsi="Times New Roman" w:eastAsia="Times New Roman" w:cs="Times New Roman"/>
      <w:snapToGrid w:val="0"/>
      <w:sz w:val="20"/>
      <w:szCs w:val="20"/>
      <w:lang w:val="ru-RU" w:eastAsia="ru-RU" w:bidi="ar-SA"/>
    </w:rPr>
  </w:style>
  <w:style w:type="paragraph" w:customStyle="1" w:styleId="155">
    <w:name w:val="заголовок 1"/>
    <w:basedOn w:val="1"/>
    <w:next w:val="1"/>
    <w:qFormat/>
    <w:uiPriority w:val="0"/>
    <w:pPr>
      <w:keepNext/>
      <w:jc w:val="center"/>
      <w:outlineLvl w:val="0"/>
    </w:pPr>
    <w:rPr>
      <w:b/>
      <w:bCs/>
      <w:sz w:val="24"/>
      <w:szCs w:val="24"/>
      <w:lang w:val="ru-RU" w:eastAsia="ru-RU"/>
    </w:rPr>
  </w:style>
  <w:style w:type="paragraph" w:customStyle="1" w:styleId="156">
    <w:name w:val="заголовок 2"/>
    <w:basedOn w:val="1"/>
    <w:next w:val="1"/>
    <w:qFormat/>
    <w:uiPriority w:val="0"/>
    <w:pPr>
      <w:keepNext/>
      <w:outlineLvl w:val="1"/>
    </w:pPr>
    <w:rPr>
      <w:b/>
      <w:bCs/>
      <w:sz w:val="24"/>
      <w:szCs w:val="24"/>
      <w:lang w:val="ru-RU" w:eastAsia="ru-RU"/>
    </w:rPr>
  </w:style>
  <w:style w:type="character" w:customStyle="1" w:styleId="157">
    <w:name w:val="Текст примечания Знак"/>
    <w:basedOn w:val="10"/>
    <w:link w:val="22"/>
    <w:semiHidden/>
    <w:qFormat/>
    <w:uiPriority w:val="99"/>
    <w:rPr>
      <w:rFonts w:ascii="Times New Roman" w:hAnsi="Times New Roman" w:eastAsia="Times New Roman" w:cs="Times New Roman"/>
      <w:sz w:val="20"/>
      <w:szCs w:val="20"/>
      <w:lang w:val="ru-RU" w:eastAsia="ar-SA"/>
    </w:rPr>
  </w:style>
  <w:style w:type="character" w:customStyle="1" w:styleId="158">
    <w:name w:val="Тема примечания Знак"/>
    <w:basedOn w:val="157"/>
    <w:link w:val="23"/>
    <w:semiHidden/>
    <w:qFormat/>
    <w:uiPriority w:val="0"/>
    <w:rPr>
      <w:rFonts w:ascii="Times New Roman" w:hAnsi="Times New Roman" w:eastAsia="Times New Roman" w:cs="Times New Roman"/>
      <w:b/>
      <w:bCs/>
      <w:sz w:val="20"/>
      <w:szCs w:val="20"/>
      <w:lang w:val="ru-RU" w:eastAsia="ar-SA"/>
    </w:rPr>
  </w:style>
  <w:style w:type="paragraph" w:customStyle="1" w:styleId="159">
    <w:name w:val="Обычный + по ширине"/>
    <w:basedOn w:val="1"/>
    <w:qFormat/>
    <w:uiPriority w:val="0"/>
    <w:pPr>
      <w:widowControl/>
      <w:tabs>
        <w:tab w:val="left" w:pos="502"/>
      </w:tabs>
      <w:suppressAutoHyphens/>
      <w:autoSpaceDE/>
      <w:autoSpaceDN/>
      <w:spacing w:line="360" w:lineRule="auto"/>
      <w:ind w:right="140"/>
      <w:jc w:val="both"/>
    </w:pPr>
    <w:rPr>
      <w:sz w:val="28"/>
      <w:szCs w:val="24"/>
      <w:lang w:val="ru-RU" w:eastAsia="ar-SA"/>
    </w:rPr>
  </w:style>
  <w:style w:type="character" w:customStyle="1" w:styleId="160">
    <w:name w:val="Абзац списка Знак"/>
    <w:link w:val="50"/>
    <w:qFormat/>
    <w:locked/>
    <w:uiPriority w:val="34"/>
    <w:rPr>
      <w:rFonts w:ascii="Times New Roman" w:hAnsi="Times New Roman" w:eastAsia="Times New Roman" w:cs="Times New Roman"/>
    </w:rPr>
  </w:style>
  <w:style w:type="character" w:customStyle="1" w:styleId="161">
    <w:name w:val="Основной текст с отступом 3 Знак"/>
    <w:basedOn w:val="10"/>
    <w:link w:val="20"/>
    <w:qFormat/>
    <w:uiPriority w:val="0"/>
    <w:rPr>
      <w:rFonts w:ascii="Times New Roman" w:hAnsi="Times New Roman" w:eastAsia="Times New Roman" w:cs="Times New Roman"/>
      <w:sz w:val="16"/>
      <w:szCs w:val="16"/>
      <w:lang w:val="ru-RU" w:eastAsia="ru-RU"/>
    </w:rPr>
  </w:style>
  <w:style w:type="character" w:customStyle="1" w:styleId="162">
    <w:name w:val="Сравнение редакций. Добавленный фрагмент"/>
    <w:qFormat/>
    <w:uiPriority w:val="99"/>
    <w:rPr>
      <w:color w:val="000000"/>
      <w:shd w:val="clear" w:color="auto" w:fill="C1D7FF"/>
    </w:rPr>
  </w:style>
  <w:style w:type="character" w:customStyle="1" w:styleId="163">
    <w:name w:val="Цветовое выделение"/>
    <w:qFormat/>
    <w:uiPriority w:val="99"/>
    <w:rPr>
      <w:b/>
      <w:color w:val="26282F"/>
    </w:rPr>
  </w:style>
  <w:style w:type="paragraph" w:customStyle="1" w:styleId="164">
    <w:name w:val="Заголовок статьи"/>
    <w:basedOn w:val="1"/>
    <w:next w:val="1"/>
    <w:qFormat/>
    <w:uiPriority w:val="99"/>
    <w:pPr>
      <w:adjustRightInd w:val="0"/>
      <w:ind w:left="1612" w:hanging="892"/>
      <w:jc w:val="both"/>
    </w:pPr>
    <w:rPr>
      <w:rFonts w:ascii="Arial" w:hAnsi="Arial" w:cs="Arial"/>
      <w:sz w:val="24"/>
      <w:szCs w:val="24"/>
      <w:lang w:val="ru-RU" w:eastAsia="ru-RU"/>
    </w:rPr>
  </w:style>
  <w:style w:type="character" w:customStyle="1" w:styleId="165">
    <w:name w:val="Основной текст (4)_"/>
    <w:basedOn w:val="10"/>
    <w:link w:val="166"/>
    <w:qFormat/>
    <w:uiPriority w:val="0"/>
    <w:rPr>
      <w:rFonts w:ascii="Times New Roman" w:hAnsi="Times New Roman" w:eastAsia="Times New Roman" w:cs="Times New Roman"/>
      <w:b/>
      <w:bCs/>
      <w:sz w:val="116"/>
      <w:szCs w:val="116"/>
      <w:shd w:val="clear" w:color="auto" w:fill="FFFFFF"/>
    </w:rPr>
  </w:style>
  <w:style w:type="paragraph" w:customStyle="1" w:styleId="166">
    <w:name w:val="Основной текст (4)"/>
    <w:basedOn w:val="1"/>
    <w:link w:val="165"/>
    <w:qFormat/>
    <w:uiPriority w:val="0"/>
    <w:pPr>
      <w:shd w:val="clear" w:color="auto" w:fill="FFFFFF"/>
      <w:autoSpaceDE/>
      <w:autoSpaceDN/>
      <w:spacing w:before="4200" w:after="480" w:line="0" w:lineRule="atLeast"/>
      <w:jc w:val="center"/>
    </w:pPr>
    <w:rPr>
      <w:b/>
      <w:bCs/>
      <w:sz w:val="116"/>
      <w:szCs w:val="116"/>
    </w:rPr>
  </w:style>
  <w:style w:type="character" w:customStyle="1" w:styleId="167">
    <w:name w:val="Основной текст (2)_"/>
    <w:basedOn w:val="10"/>
    <w:qFormat/>
    <w:uiPriority w:val="0"/>
    <w:rPr>
      <w:rFonts w:ascii="Times New Roman" w:hAnsi="Times New Roman" w:eastAsia="Times New Roman" w:cs="Times New Roman"/>
      <w:sz w:val="28"/>
      <w:szCs w:val="28"/>
      <w:u w:val="none"/>
    </w:rPr>
  </w:style>
  <w:style w:type="character" w:customStyle="1" w:styleId="168">
    <w:name w:val="Основной текст (2)"/>
    <w:basedOn w:val="167"/>
    <w:qFormat/>
    <w:uiPriority w:val="0"/>
    <w:rPr>
      <w:rFonts w:ascii="Times New Roman" w:hAnsi="Times New Roman" w:eastAsia="Times New Roman" w:cs="Times New Roman"/>
      <w:color w:val="000000"/>
      <w:spacing w:val="0"/>
      <w:w w:val="100"/>
      <w:position w:val="0"/>
      <w:sz w:val="28"/>
      <w:szCs w:val="28"/>
      <w:u w:val="single"/>
      <w:lang w:val="ru-RU" w:eastAsia="ru-RU" w:bidi="ru-RU"/>
    </w:rPr>
  </w:style>
  <w:style w:type="character" w:customStyle="1" w:styleId="169">
    <w:name w:val="Основной текст (2) + Курсив"/>
    <w:basedOn w:val="167"/>
    <w:qFormat/>
    <w:uiPriority w:val="0"/>
    <w:rPr>
      <w:rFonts w:ascii="Times New Roman" w:hAnsi="Times New Roman" w:eastAsia="Times New Roman" w:cs="Times New Roman"/>
      <w:i/>
      <w:iCs/>
      <w:color w:val="000000"/>
      <w:spacing w:val="0"/>
      <w:w w:val="100"/>
      <w:position w:val="0"/>
      <w:sz w:val="28"/>
      <w:szCs w:val="28"/>
      <w:u w:val="none"/>
      <w:lang w:val="ru-RU" w:eastAsia="ru-RU" w:bidi="ru-RU"/>
    </w:rPr>
  </w:style>
  <w:style w:type="character" w:customStyle="1" w:styleId="170">
    <w:name w:val="Основной текст (2) + 8;5 pt"/>
    <w:basedOn w:val="167"/>
    <w:qFormat/>
    <w:uiPriority w:val="0"/>
    <w:rPr>
      <w:rFonts w:ascii="Times New Roman" w:hAnsi="Times New Roman" w:eastAsia="Times New Roman" w:cs="Times New Roman"/>
      <w:color w:val="000000"/>
      <w:spacing w:val="0"/>
      <w:w w:val="100"/>
      <w:position w:val="0"/>
      <w:sz w:val="17"/>
      <w:szCs w:val="17"/>
      <w:u w:val="none"/>
      <w:lang w:val="ru-RU" w:eastAsia="ru-RU" w:bidi="ru-RU"/>
    </w:rPr>
  </w:style>
  <w:style w:type="character" w:customStyle="1" w:styleId="171">
    <w:name w:val="Основной текст (2) + 10;5 pt;Полужирный"/>
    <w:basedOn w:val="167"/>
    <w:qFormat/>
    <w:uiPriority w:val="0"/>
    <w:rPr>
      <w:rFonts w:ascii="Times New Roman" w:hAnsi="Times New Roman" w:eastAsia="Times New Roman" w:cs="Times New Roman"/>
      <w:b/>
      <w:bCs/>
      <w:color w:val="000000"/>
      <w:spacing w:val="0"/>
      <w:w w:val="100"/>
      <w:position w:val="0"/>
      <w:sz w:val="21"/>
      <w:szCs w:val="21"/>
      <w:u w:val="none"/>
      <w:lang w:val="ru-RU" w:eastAsia="ru-RU" w:bidi="ru-RU"/>
    </w:rPr>
  </w:style>
  <w:style w:type="character" w:customStyle="1" w:styleId="172">
    <w:name w:val="Основной текст (2) + 11 pt"/>
    <w:basedOn w:val="167"/>
    <w:qFormat/>
    <w:uiPriority w:val="0"/>
    <w:rPr>
      <w:rFonts w:ascii="Times New Roman" w:hAnsi="Times New Roman" w:eastAsia="Times New Roman" w:cs="Times New Roman"/>
      <w:color w:val="000000"/>
      <w:spacing w:val="0"/>
      <w:w w:val="100"/>
      <w:position w:val="0"/>
      <w:sz w:val="22"/>
      <w:szCs w:val="22"/>
      <w:u w:val="none"/>
      <w:lang w:val="ru-RU" w:eastAsia="ru-RU" w:bidi="ru-RU"/>
    </w:rPr>
  </w:style>
  <w:style w:type="character" w:customStyle="1" w:styleId="173">
    <w:name w:val="Заголовок №1_"/>
    <w:basedOn w:val="10"/>
    <w:link w:val="174"/>
    <w:qFormat/>
    <w:uiPriority w:val="0"/>
    <w:rPr>
      <w:rFonts w:ascii="Times New Roman" w:hAnsi="Times New Roman" w:eastAsia="Times New Roman" w:cs="Times New Roman"/>
      <w:b/>
      <w:bCs/>
      <w:sz w:val="28"/>
      <w:szCs w:val="28"/>
      <w:shd w:val="clear" w:color="auto" w:fill="FFFFFF"/>
    </w:rPr>
  </w:style>
  <w:style w:type="paragraph" w:customStyle="1" w:styleId="174">
    <w:name w:val="Заголовок №1"/>
    <w:basedOn w:val="1"/>
    <w:link w:val="173"/>
    <w:qFormat/>
    <w:uiPriority w:val="0"/>
    <w:pPr>
      <w:shd w:val="clear" w:color="auto" w:fill="FFFFFF"/>
      <w:autoSpaceDE/>
      <w:autoSpaceDN/>
      <w:spacing w:after="420" w:line="0" w:lineRule="atLeast"/>
      <w:jc w:val="both"/>
      <w:outlineLvl w:val="0"/>
    </w:pPr>
    <w:rPr>
      <w:b/>
      <w:bCs/>
      <w:sz w:val="28"/>
      <w:szCs w:val="28"/>
    </w:rPr>
  </w:style>
  <w:style w:type="character" w:customStyle="1" w:styleId="175">
    <w:name w:val="Подпись к таблице (2)_"/>
    <w:basedOn w:val="10"/>
    <w:link w:val="176"/>
    <w:qFormat/>
    <w:uiPriority w:val="0"/>
    <w:rPr>
      <w:rFonts w:ascii="Times New Roman" w:hAnsi="Times New Roman" w:eastAsia="Times New Roman" w:cs="Times New Roman"/>
      <w:sz w:val="28"/>
      <w:szCs w:val="28"/>
      <w:shd w:val="clear" w:color="auto" w:fill="FFFFFF"/>
    </w:rPr>
  </w:style>
  <w:style w:type="paragraph" w:customStyle="1" w:styleId="176">
    <w:name w:val="Подпись к таблице (2)"/>
    <w:basedOn w:val="1"/>
    <w:link w:val="175"/>
    <w:qFormat/>
    <w:uiPriority w:val="0"/>
    <w:pPr>
      <w:shd w:val="clear" w:color="auto" w:fill="FFFFFF"/>
      <w:autoSpaceDE/>
      <w:autoSpaceDN/>
      <w:spacing w:line="0" w:lineRule="atLeast"/>
      <w:jc w:val="right"/>
    </w:pPr>
    <w:rPr>
      <w:sz w:val="28"/>
      <w:szCs w:val="28"/>
    </w:rPr>
  </w:style>
  <w:style w:type="character" w:customStyle="1" w:styleId="177">
    <w:name w:val="Основной текст (2) + 8;5 pt;Полужирный"/>
    <w:basedOn w:val="167"/>
    <w:qFormat/>
    <w:uiPriority w:val="0"/>
    <w:rPr>
      <w:rFonts w:ascii="Times New Roman" w:hAnsi="Times New Roman" w:eastAsia="Times New Roman" w:cs="Times New Roman"/>
      <w:b/>
      <w:bCs/>
      <w:color w:val="000000"/>
      <w:spacing w:val="0"/>
      <w:w w:val="100"/>
      <w:position w:val="0"/>
      <w:sz w:val="17"/>
      <w:szCs w:val="17"/>
      <w:u w:val="none"/>
      <w:lang w:val="ru-RU" w:eastAsia="ru-RU" w:bidi="ru-RU"/>
    </w:rPr>
  </w:style>
  <w:style w:type="character" w:customStyle="1" w:styleId="178">
    <w:name w:val="Основной текст (3)_"/>
    <w:basedOn w:val="10"/>
    <w:link w:val="179"/>
    <w:qFormat/>
    <w:uiPriority w:val="0"/>
    <w:rPr>
      <w:rFonts w:ascii="Times New Roman" w:hAnsi="Times New Roman" w:eastAsia="Times New Roman" w:cs="Times New Roman"/>
      <w:b/>
      <w:bCs/>
      <w:sz w:val="28"/>
      <w:szCs w:val="28"/>
      <w:shd w:val="clear" w:color="auto" w:fill="FFFFFF"/>
    </w:rPr>
  </w:style>
  <w:style w:type="paragraph" w:customStyle="1" w:styleId="179">
    <w:name w:val="Основной текст (3)"/>
    <w:basedOn w:val="1"/>
    <w:link w:val="178"/>
    <w:qFormat/>
    <w:uiPriority w:val="0"/>
    <w:pPr>
      <w:shd w:val="clear" w:color="auto" w:fill="FFFFFF"/>
      <w:autoSpaceDE/>
      <w:autoSpaceDN/>
      <w:spacing w:line="322" w:lineRule="exact"/>
      <w:jc w:val="center"/>
    </w:pPr>
    <w:rPr>
      <w:b/>
      <w:bCs/>
      <w:sz w:val="28"/>
      <w:szCs w:val="28"/>
    </w:rPr>
  </w:style>
  <w:style w:type="character" w:customStyle="1" w:styleId="180">
    <w:name w:val="Заголовок 6 Знак"/>
    <w:basedOn w:val="10"/>
    <w:link w:val="7"/>
    <w:qFormat/>
    <w:uiPriority w:val="0"/>
    <w:rPr>
      <w:rFonts w:ascii="Times New Roman" w:hAnsi="Times New Roman" w:eastAsia="Times New Roman" w:cs="Times New Roman"/>
      <w:b/>
      <w:bCs/>
      <w:lang w:val="ru-RU" w:eastAsia="ru-RU"/>
    </w:rPr>
  </w:style>
  <w:style w:type="character" w:customStyle="1" w:styleId="181">
    <w:name w:val="Основной текст (2) + 9;5 pt"/>
    <w:basedOn w:val="167"/>
    <w:qFormat/>
    <w:uiPriority w:val="0"/>
    <w:rPr>
      <w:rFonts w:ascii="Times New Roman" w:hAnsi="Times New Roman" w:eastAsia="Times New Roman" w:cs="Times New Roman"/>
      <w:color w:val="000000"/>
      <w:spacing w:val="0"/>
      <w:w w:val="100"/>
      <w:position w:val="0"/>
      <w:sz w:val="19"/>
      <w:szCs w:val="19"/>
      <w:u w:val="none"/>
      <w:lang w:val="ru-RU" w:eastAsia="ru-RU" w:bidi="ru-RU"/>
    </w:rPr>
  </w:style>
  <w:style w:type="character" w:customStyle="1" w:styleId="182">
    <w:name w:val="Основной текст (2) + 10 pt"/>
    <w:basedOn w:val="167"/>
    <w:qFormat/>
    <w:uiPriority w:val="0"/>
    <w:rPr>
      <w:rFonts w:ascii="Times New Roman" w:hAnsi="Times New Roman" w:eastAsia="Times New Roman" w:cs="Times New Roman"/>
      <w:color w:val="000000"/>
      <w:spacing w:val="0"/>
      <w:w w:val="100"/>
      <w:position w:val="0"/>
      <w:sz w:val="20"/>
      <w:szCs w:val="20"/>
      <w:u w:val="none"/>
      <w:lang w:val="ru-RU" w:eastAsia="ru-RU" w:bidi="ru-RU"/>
    </w:rPr>
  </w:style>
  <w:style w:type="character" w:customStyle="1" w:styleId="183">
    <w:name w:val="extended-text__full"/>
    <w:basedOn w:val="10"/>
    <w:qFormat/>
    <w:uiPriority w:val="0"/>
  </w:style>
  <w:style w:type="paragraph" w:customStyle="1" w:styleId="184">
    <w:name w:val="1466"/>
    <w:basedOn w:val="1"/>
    <w:qFormat/>
    <w:uiPriority w:val="0"/>
    <w:pPr>
      <w:widowControl/>
      <w:autoSpaceDE/>
      <w:autoSpaceDN/>
      <w:jc w:val="center"/>
    </w:pPr>
    <w:rPr>
      <w:color w:val="00000A"/>
      <w:sz w:val="24"/>
      <w:szCs w:val="24"/>
      <w:lang w:val="ru-RU"/>
    </w:rPr>
  </w:style>
  <w:style w:type="character" w:customStyle="1" w:styleId="185">
    <w:name w:val="extendedtext-full"/>
    <w:basedOn w:val="10"/>
    <w:qFormat/>
    <w:uiPriority w:val="0"/>
  </w:style>
  <w:style w:type="paragraph" w:customStyle="1" w:styleId="186">
    <w:name w:val="headertext"/>
    <w:basedOn w:val="1"/>
    <w:qFormat/>
    <w:uiPriority w:val="0"/>
    <w:pPr>
      <w:widowControl/>
      <w:autoSpaceDE/>
      <w:autoSpaceDN/>
      <w:spacing w:before="100" w:beforeAutospacing="1" w:after="100" w:afterAutospacing="1"/>
    </w:pPr>
    <w:rPr>
      <w:sz w:val="24"/>
      <w:szCs w:val="24"/>
      <w:lang w:val="ru-RU" w:eastAsia="ru-RU"/>
    </w:rPr>
  </w:style>
  <w:style w:type="paragraph" w:customStyle="1" w:styleId="187">
    <w:name w:val="Табличный_заголовки"/>
    <w:basedOn w:val="1"/>
    <w:autoRedefine/>
    <w:qFormat/>
    <w:uiPriority w:val="0"/>
    <w:pPr>
      <w:keepNext/>
      <w:keepLines/>
      <w:widowControl/>
      <w:numPr>
        <w:ilvl w:val="0"/>
        <w:numId w:val="1"/>
      </w:numPr>
      <w:autoSpaceDE/>
      <w:autoSpaceDN/>
      <w:spacing w:before="120"/>
      <w:ind w:right="-142"/>
      <w:jc w:val="center"/>
    </w:pPr>
    <w:rPr>
      <w:rFonts w:eastAsia="Calibri"/>
      <w:b/>
      <w:sz w:val="24"/>
      <w:szCs w:val="24"/>
      <w:lang w:val="ru-RU" w:eastAsia="ru-RU"/>
    </w:rPr>
  </w:style>
  <w:style w:type="character" w:customStyle="1" w:styleId="188">
    <w:name w:val="Название объекта Знак2"/>
    <w:link w:val="21"/>
    <w:locked/>
    <w:uiPriority w:val="35"/>
    <w:rPr>
      <w:rFonts w:ascii="Times New Roman" w:hAnsi="Times New Roman"/>
      <w:b/>
      <w:i/>
      <w:iCs/>
      <w:sz w:val="24"/>
      <w:szCs w:val="18"/>
      <w:lang w:val="ru-RU"/>
    </w:rPr>
  </w:style>
  <w:style w:type="paragraph" w:customStyle="1" w:styleId="189">
    <w:name w:val="Табличный_центр"/>
    <w:basedOn w:val="1"/>
    <w:qFormat/>
    <w:uiPriority w:val="0"/>
    <w:pPr>
      <w:widowControl/>
      <w:autoSpaceDE/>
      <w:autoSpaceDN/>
      <w:jc w:val="center"/>
    </w:pPr>
    <w:rPr>
      <w:sz w:val="24"/>
      <w:lang w:val="ru-RU" w:eastAsia="ru-RU"/>
    </w:rPr>
  </w:style>
  <w:style w:type="paragraph" w:customStyle="1" w:styleId="190">
    <w:name w:val="Обычный текст"/>
    <w:basedOn w:val="1"/>
    <w:qFormat/>
    <w:uiPriority w:val="0"/>
    <w:pPr>
      <w:widowControl/>
      <w:autoSpaceDE/>
      <w:autoSpaceDN/>
      <w:ind w:firstLine="709"/>
      <w:jc w:val="both"/>
    </w:pPr>
    <w:rPr>
      <w:sz w:val="24"/>
      <w:szCs w:val="24"/>
      <w:lang w:eastAsia="ar-SA" w:bidi="en-US"/>
    </w:rPr>
  </w:style>
  <w:style w:type="character" w:customStyle="1" w:styleId="191">
    <w:name w:val="button-search"/>
    <w:basedOn w:val="10"/>
    <w:qFormat/>
    <w:uiPriority w:val="0"/>
  </w:style>
  <w:style w:type="character" w:customStyle="1" w:styleId="192">
    <w:name w:val="layout"/>
    <w:basedOn w:val="10"/>
    <w:qFormat/>
    <w:uiPriority w:val="0"/>
  </w:style>
  <w:style w:type="character" w:customStyle="1" w:styleId="193">
    <w:name w:val="cite-bracket"/>
    <w:basedOn w:val="10"/>
    <w:uiPriority w:val="0"/>
  </w:style>
  <w:style w:type="paragraph" w:customStyle="1" w:styleId="194">
    <w:name w:val="Обычный 1"/>
    <w:basedOn w:val="1"/>
    <w:link w:val="195"/>
    <w:qFormat/>
    <w:uiPriority w:val="0"/>
    <w:pPr>
      <w:autoSpaceDE/>
      <w:autoSpaceDN/>
      <w:ind w:right="51" w:firstLine="426"/>
      <w:jc w:val="both"/>
    </w:pPr>
    <w:rPr>
      <w:sz w:val="26"/>
      <w:szCs w:val="26"/>
      <w:lang w:val="ru-RU"/>
    </w:rPr>
  </w:style>
  <w:style w:type="character" w:customStyle="1" w:styleId="195">
    <w:name w:val="Обычный 1 Знак"/>
    <w:basedOn w:val="10"/>
    <w:link w:val="194"/>
    <w:uiPriority w:val="0"/>
    <w:rPr>
      <w:rFonts w:ascii="Times New Roman" w:hAnsi="Times New Roman" w:eastAsia="Times New Roman" w:cs="Times New Roman"/>
      <w:sz w:val="26"/>
      <w:szCs w:val="26"/>
      <w:lang w:val="ru-RU"/>
    </w:rPr>
  </w:style>
  <w:style w:type="paragraph" w:customStyle="1" w:styleId="196">
    <w:name w:val="ConsPlusNormal"/>
    <w:uiPriority w:val="0"/>
    <w:pPr>
      <w:widowControl w:val="0"/>
      <w:autoSpaceDE w:val="0"/>
      <w:autoSpaceDN w:val="0"/>
    </w:pPr>
    <w:rPr>
      <w:rFonts w:ascii="Calibri" w:hAnsi="Calibri" w:eastAsia="Times New Roman" w:cs="Calibri"/>
      <w:sz w:val="22"/>
      <w:szCs w:val="20"/>
      <w:lang w:val="ru-RU" w:eastAsia="ru-RU" w:bidi="ar-SA"/>
    </w:rPr>
  </w:style>
  <w:style w:type="paragraph" w:customStyle="1" w:styleId="197">
    <w:name w:val="Базовый"/>
    <w:uiPriority w:val="0"/>
    <w:pPr>
      <w:widowControl/>
      <w:tabs>
        <w:tab w:val="left" w:pos="709"/>
      </w:tabs>
      <w:suppressAutoHyphens/>
      <w:autoSpaceDE/>
      <w:autoSpaceDN/>
      <w:spacing w:line="200" w:lineRule="atLeast"/>
    </w:pPr>
    <w:rPr>
      <w:rFonts w:ascii="Times New Roman" w:hAnsi="Times New Roman" w:eastAsia="Times New Roman" w:cs="Times New Roman"/>
      <w:sz w:val="24"/>
      <w:szCs w:val="24"/>
      <w:lang w:val="ru-RU" w:eastAsia="ru-RU"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jpeg"/><Relationship Id="rId7" Type="http://schemas.openxmlformats.org/officeDocument/2006/relationships/image" Target="media/image1.jpeg"/><Relationship Id="rId6" Type="http://schemas.openxmlformats.org/officeDocument/2006/relationships/theme" Target="theme/theme1.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customXml" Target="../customXml/item2.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F1328B0-0056-44CE-A987-6D955F3EB466}">
  <ds:schemaRefs/>
</ds:datastoreItem>
</file>

<file path=docProps/app.xml><?xml version="1.0" encoding="utf-8"?>
<Properties xmlns="http://schemas.openxmlformats.org/officeDocument/2006/extended-properties" xmlns:vt="http://schemas.openxmlformats.org/officeDocument/2006/docPropsVTypes">
  <Template>Normal.dotm</Template>
  <Pages>43</Pages>
  <Words>11724</Words>
  <Characters>66827</Characters>
  <Lines>556</Lines>
  <Paragraphs>156</Paragraphs>
  <TotalTime>3991</TotalTime>
  <ScaleCrop>false</ScaleCrop>
  <LinksUpToDate>false</LinksUpToDate>
  <CharactersWithSpaces>78395</CharactersWithSpaces>
  <Application>WPS Office_12.2.0.20326_F1E327BC-269C-435d-A152-05C5408002CA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2021-11-23T08:09:00Z</dcterms:created>
  <dc:creator>Людмила Гончарова</dc:creator>
  <cp:lastModifiedBy>ArchWork</cp:lastModifiedBy>
  <dcterms:modified xsi:type="dcterms:W3CDTF">2025-05-29T11:30:28Z</dcterms:modified>
  <cp:revision>1286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2017-11-09T00:00:00Z</vt:filetime>
  </property>
  <property fmtid="{D5CDD505-2E9C-101B-9397-08002B2CF9AE}" pid="3" name="LastSaved">
    <vt:filetime>2017-11-09T00:00:00Z</vt:filetime>
  </property>
  <property fmtid="{D5CDD505-2E9C-101B-9397-08002B2CF9AE}" pid="4" name="KSOProductBuildVer">
    <vt:lpwstr>1049-12.2.0.20326</vt:lpwstr>
  </property>
  <property fmtid="{D5CDD505-2E9C-101B-9397-08002B2CF9AE}" pid="5" name="ICV">
    <vt:lpwstr>5D0E5D820ED74EE89779DA05CA0BBF33_12</vt:lpwstr>
  </property>
</Properties>
</file>